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1FE" w:rsidRPr="00B73D47" w:rsidRDefault="00B051FE" w:rsidP="00FD322C">
      <w:pPr>
        <w:pStyle w:val="NoSpacing"/>
        <w:spacing w:after="240"/>
        <w:jc w:val="center"/>
        <w:rPr>
          <w:rFonts w:ascii="Times New Roman" w:hAnsi="Times New Roman" w:cs="Times New Roman"/>
          <w:sz w:val="28"/>
          <w:szCs w:val="28"/>
        </w:rPr>
      </w:pPr>
      <w:bookmarkStart w:id="0" w:name="_GoBack"/>
      <w:bookmarkEnd w:id="0"/>
      <w:r w:rsidRPr="00B73D47">
        <w:rPr>
          <w:rFonts w:ascii="Times New Roman" w:hAnsi="Times New Roman" w:cs="Times New Roman"/>
          <w:sz w:val="40"/>
          <w:szCs w:val="40"/>
        </w:rPr>
        <w:t>MLRC Media Law Conference</w:t>
      </w:r>
      <w:r w:rsidRPr="00B73D47">
        <w:rPr>
          <w:rFonts w:ascii="Times New Roman" w:hAnsi="Times New Roman" w:cs="Times New Roman"/>
          <w:sz w:val="40"/>
          <w:szCs w:val="40"/>
        </w:rPr>
        <w:br/>
      </w:r>
      <w:r w:rsidRPr="00B73D47">
        <w:rPr>
          <w:rFonts w:ascii="Times New Roman" w:hAnsi="Times New Roman" w:cs="Times New Roman"/>
          <w:sz w:val="28"/>
          <w:szCs w:val="28"/>
        </w:rPr>
        <w:t>Sept. 29-Oct. 1, 2021</w:t>
      </w:r>
      <w:r w:rsidRPr="00B73D47">
        <w:rPr>
          <w:rFonts w:ascii="Times New Roman" w:hAnsi="Times New Roman" w:cs="Times New Roman"/>
          <w:sz w:val="28"/>
          <w:szCs w:val="28"/>
        </w:rPr>
        <w:br/>
        <w:t>Lansdowne Resort Hotel, Leesburg, VA</w:t>
      </w:r>
    </w:p>
    <w:p w:rsidR="00506B68" w:rsidRPr="00B73D47" w:rsidRDefault="00506B68" w:rsidP="00FD322C">
      <w:pPr>
        <w:pStyle w:val="NoSpacing"/>
        <w:jc w:val="center"/>
        <w:rPr>
          <w:rFonts w:ascii="Times New Roman" w:hAnsi="Times New Roman" w:cs="Times New Roman"/>
          <w:b/>
          <w:sz w:val="32"/>
          <w:szCs w:val="32"/>
        </w:rPr>
      </w:pPr>
      <w:r w:rsidRPr="00B73D47">
        <w:rPr>
          <w:rFonts w:ascii="Times New Roman" w:hAnsi="Times New Roman" w:cs="Times New Roman"/>
          <w:b/>
          <w:sz w:val="32"/>
          <w:szCs w:val="32"/>
        </w:rPr>
        <w:t xml:space="preserve">Right of Publicity and Privacy Developments </w:t>
      </w:r>
    </w:p>
    <w:p w:rsidR="000111E8" w:rsidRPr="00B73D47" w:rsidRDefault="00506B68" w:rsidP="00FD322C">
      <w:pPr>
        <w:pStyle w:val="NoSpacing"/>
        <w:jc w:val="center"/>
        <w:rPr>
          <w:rFonts w:ascii="Times New Roman" w:hAnsi="Times New Roman" w:cs="Times New Roman"/>
          <w:sz w:val="28"/>
          <w:szCs w:val="28"/>
        </w:rPr>
      </w:pPr>
      <w:r w:rsidRPr="00B73D47">
        <w:rPr>
          <w:rFonts w:ascii="Times New Roman" w:hAnsi="Times New Roman" w:cs="Times New Roman"/>
          <w:sz w:val="28"/>
          <w:szCs w:val="28"/>
        </w:rPr>
        <w:t>Ben Sheffner, Motion Picture Association; Jacquelyn Schell, Ballard Spahr</w:t>
      </w:r>
      <w:r w:rsidR="00F71281">
        <w:rPr>
          <w:rStyle w:val="FootnoteReference"/>
          <w:rFonts w:ascii="Times New Roman" w:hAnsi="Times New Roman" w:cs="Times New Roman"/>
          <w:sz w:val="28"/>
          <w:szCs w:val="28"/>
        </w:rPr>
        <w:footnoteReference w:id="1"/>
      </w:r>
    </w:p>
    <w:p w:rsidR="00A74C96" w:rsidRPr="00B73D47" w:rsidRDefault="00A74C96" w:rsidP="00FD322C">
      <w:pPr>
        <w:pStyle w:val="NoSpacing"/>
        <w:rPr>
          <w:rFonts w:ascii="Times New Roman" w:hAnsi="Times New Roman" w:cs="Times New Roman"/>
          <w:sz w:val="24"/>
          <w:szCs w:val="24"/>
        </w:rPr>
      </w:pPr>
    </w:p>
    <w:p w:rsidR="008E3F2A" w:rsidRPr="00B73D47" w:rsidRDefault="008E3F2A" w:rsidP="00FD322C">
      <w:pPr>
        <w:pStyle w:val="NoSpacing"/>
        <w:numPr>
          <w:ilvl w:val="0"/>
          <w:numId w:val="12"/>
        </w:numPr>
        <w:spacing w:after="240"/>
        <w:rPr>
          <w:rFonts w:ascii="Times New Roman" w:hAnsi="Times New Roman" w:cs="Times New Roman"/>
          <w:b/>
          <w:sz w:val="28"/>
          <w:szCs w:val="28"/>
          <w:u w:val="single"/>
        </w:rPr>
      </w:pPr>
      <w:r w:rsidRPr="00B73D47">
        <w:rPr>
          <w:rFonts w:ascii="Times New Roman" w:hAnsi="Times New Roman" w:cs="Times New Roman"/>
          <w:b/>
          <w:sz w:val="28"/>
          <w:szCs w:val="28"/>
          <w:u w:val="single"/>
        </w:rPr>
        <w:t xml:space="preserve">New York’s </w:t>
      </w:r>
      <w:r w:rsidR="00506B68" w:rsidRPr="00B73D47">
        <w:rPr>
          <w:rFonts w:ascii="Times New Roman" w:hAnsi="Times New Roman" w:cs="Times New Roman"/>
          <w:b/>
          <w:sz w:val="28"/>
          <w:szCs w:val="28"/>
          <w:u w:val="single"/>
        </w:rPr>
        <w:t>Post-Mortem Right of Publicity and Related Legislation</w:t>
      </w:r>
    </w:p>
    <w:p w:rsidR="008E3F2A" w:rsidRPr="00B73D47" w:rsidRDefault="008E3F2A" w:rsidP="00FD322C">
      <w:pPr>
        <w:pStyle w:val="NoSpacing"/>
        <w:numPr>
          <w:ilvl w:val="1"/>
          <w:numId w:val="13"/>
        </w:numPr>
        <w:spacing w:after="240"/>
        <w:rPr>
          <w:rFonts w:ascii="Times New Roman" w:hAnsi="Times New Roman" w:cs="Times New Roman"/>
          <w:sz w:val="24"/>
          <w:szCs w:val="24"/>
        </w:rPr>
      </w:pPr>
      <w:r w:rsidRPr="00B73D47">
        <w:rPr>
          <w:rFonts w:ascii="Times New Roman" w:hAnsi="Times New Roman" w:cs="Times New Roman"/>
          <w:b/>
          <w:sz w:val="24"/>
          <w:szCs w:val="24"/>
        </w:rPr>
        <w:t xml:space="preserve">Background: </w:t>
      </w:r>
      <w:r w:rsidR="002C305D" w:rsidRPr="00B73D47">
        <w:rPr>
          <w:rFonts w:ascii="Times New Roman" w:hAnsi="Times New Roman" w:cs="Times New Roman"/>
          <w:sz w:val="24"/>
          <w:szCs w:val="24"/>
        </w:rPr>
        <w:t>New York’s right of privacy statute, Civ. R</w:t>
      </w:r>
      <w:r w:rsidR="008643CA">
        <w:rPr>
          <w:rFonts w:ascii="Times New Roman" w:hAnsi="Times New Roman" w:cs="Times New Roman"/>
          <w:sz w:val="24"/>
          <w:szCs w:val="24"/>
        </w:rPr>
        <w:t>igh</w:t>
      </w:r>
      <w:r w:rsidR="002C305D" w:rsidRPr="00B73D47">
        <w:rPr>
          <w:rFonts w:ascii="Times New Roman" w:hAnsi="Times New Roman" w:cs="Times New Roman"/>
          <w:sz w:val="24"/>
          <w:szCs w:val="24"/>
        </w:rPr>
        <w:t>ts L. §§</w:t>
      </w:r>
      <w:r w:rsidRPr="00B73D47">
        <w:rPr>
          <w:rFonts w:ascii="Times New Roman" w:hAnsi="Times New Roman" w:cs="Times New Roman"/>
          <w:sz w:val="24"/>
          <w:szCs w:val="24"/>
        </w:rPr>
        <w:t xml:space="preserve"> </w:t>
      </w:r>
      <w:r w:rsidR="002C305D" w:rsidRPr="00B73D47">
        <w:rPr>
          <w:rFonts w:ascii="Times New Roman" w:hAnsi="Times New Roman" w:cs="Times New Roman"/>
          <w:sz w:val="24"/>
          <w:szCs w:val="24"/>
        </w:rPr>
        <w:t>50</w:t>
      </w:r>
      <w:r w:rsidRPr="00B73D47">
        <w:rPr>
          <w:rFonts w:ascii="Times New Roman" w:hAnsi="Times New Roman" w:cs="Times New Roman"/>
          <w:sz w:val="24"/>
          <w:szCs w:val="24"/>
        </w:rPr>
        <w:t xml:space="preserve">, </w:t>
      </w:r>
      <w:r w:rsidR="002C305D" w:rsidRPr="00B73D47">
        <w:rPr>
          <w:rFonts w:ascii="Times New Roman" w:hAnsi="Times New Roman" w:cs="Times New Roman"/>
          <w:sz w:val="24"/>
          <w:szCs w:val="24"/>
        </w:rPr>
        <w:t>51, has exist</w:t>
      </w:r>
      <w:r w:rsidRPr="00B73D47">
        <w:rPr>
          <w:rFonts w:ascii="Times New Roman" w:hAnsi="Times New Roman" w:cs="Times New Roman"/>
          <w:sz w:val="24"/>
          <w:szCs w:val="24"/>
        </w:rPr>
        <w:t>ed almost unchanged since 1903</w:t>
      </w:r>
      <w:r w:rsidR="00915AE1">
        <w:rPr>
          <w:rFonts w:ascii="Times New Roman" w:hAnsi="Times New Roman" w:cs="Times New Roman"/>
          <w:sz w:val="24"/>
          <w:szCs w:val="24"/>
        </w:rPr>
        <w:t xml:space="preserve">. </w:t>
      </w:r>
    </w:p>
    <w:p w:rsidR="008E3F2A" w:rsidRPr="00B73D47" w:rsidRDefault="008E3F2A" w:rsidP="00FD322C">
      <w:pPr>
        <w:pStyle w:val="NoSpacing"/>
        <w:numPr>
          <w:ilvl w:val="2"/>
          <w:numId w:val="13"/>
        </w:numPr>
        <w:spacing w:after="240"/>
        <w:ind w:hanging="360"/>
        <w:rPr>
          <w:rFonts w:ascii="Times New Roman" w:hAnsi="Times New Roman" w:cs="Times New Roman"/>
          <w:sz w:val="24"/>
          <w:szCs w:val="24"/>
        </w:rPr>
      </w:pPr>
      <w:r w:rsidRPr="00B73D47">
        <w:rPr>
          <w:rFonts w:ascii="Times New Roman" w:hAnsi="Times New Roman" w:cs="Times New Roman"/>
          <w:sz w:val="24"/>
          <w:szCs w:val="24"/>
        </w:rPr>
        <w:t xml:space="preserve">Limited </w:t>
      </w:r>
      <w:r w:rsidR="002C305D" w:rsidRPr="00B73D47">
        <w:rPr>
          <w:rFonts w:ascii="Times New Roman" w:hAnsi="Times New Roman" w:cs="Times New Roman"/>
          <w:sz w:val="24"/>
          <w:szCs w:val="24"/>
        </w:rPr>
        <w:t xml:space="preserve">to uses “for advertising purposes or for the purposes of trade.” </w:t>
      </w:r>
    </w:p>
    <w:p w:rsidR="008E3F2A" w:rsidRPr="00B73D47" w:rsidRDefault="00406851" w:rsidP="00FD322C">
      <w:pPr>
        <w:pStyle w:val="NoSpacing"/>
        <w:numPr>
          <w:ilvl w:val="2"/>
          <w:numId w:val="13"/>
        </w:numPr>
        <w:spacing w:after="240"/>
        <w:ind w:hanging="360"/>
        <w:rPr>
          <w:rFonts w:ascii="Times New Roman" w:hAnsi="Times New Roman" w:cs="Times New Roman"/>
          <w:sz w:val="24"/>
          <w:szCs w:val="24"/>
        </w:rPr>
      </w:pPr>
      <w:r w:rsidRPr="00B73D47">
        <w:rPr>
          <w:rFonts w:ascii="Times New Roman" w:hAnsi="Times New Roman" w:cs="Times New Roman"/>
          <w:sz w:val="24"/>
          <w:szCs w:val="24"/>
        </w:rPr>
        <w:t>Cover</w:t>
      </w:r>
      <w:r w:rsidR="008E3F2A" w:rsidRPr="00B73D47">
        <w:rPr>
          <w:rFonts w:ascii="Times New Roman" w:hAnsi="Times New Roman" w:cs="Times New Roman"/>
          <w:sz w:val="24"/>
          <w:szCs w:val="24"/>
        </w:rPr>
        <w:t>ed</w:t>
      </w:r>
      <w:r w:rsidRPr="00B73D47">
        <w:rPr>
          <w:rFonts w:ascii="Times New Roman" w:hAnsi="Times New Roman" w:cs="Times New Roman"/>
          <w:sz w:val="24"/>
          <w:szCs w:val="24"/>
        </w:rPr>
        <w:t xml:space="preserve"> only living individuals.</w:t>
      </w:r>
    </w:p>
    <w:p w:rsidR="008E3F2A" w:rsidRPr="00B73D47" w:rsidRDefault="008E3F2A" w:rsidP="00FD322C">
      <w:pPr>
        <w:pStyle w:val="NoSpacing"/>
        <w:numPr>
          <w:ilvl w:val="2"/>
          <w:numId w:val="13"/>
        </w:numPr>
        <w:spacing w:after="240"/>
        <w:ind w:hanging="360"/>
        <w:rPr>
          <w:rFonts w:ascii="Times New Roman" w:hAnsi="Times New Roman" w:cs="Times New Roman"/>
          <w:sz w:val="24"/>
          <w:szCs w:val="24"/>
        </w:rPr>
      </w:pPr>
      <w:r w:rsidRPr="00B73D47">
        <w:rPr>
          <w:rFonts w:ascii="Times New Roman" w:hAnsi="Times New Roman" w:cs="Times New Roman"/>
          <w:sz w:val="24"/>
          <w:szCs w:val="24"/>
        </w:rPr>
        <w:t xml:space="preserve">Did not include </w:t>
      </w:r>
      <w:r w:rsidR="002C305D" w:rsidRPr="00B73D47">
        <w:rPr>
          <w:rFonts w:ascii="Times New Roman" w:hAnsi="Times New Roman" w:cs="Times New Roman"/>
          <w:sz w:val="24"/>
          <w:szCs w:val="24"/>
        </w:rPr>
        <w:t>statutory exemptions for uses protected by the First Amendment, but case law largely provide</w:t>
      </w:r>
      <w:r w:rsidRPr="00B73D47">
        <w:rPr>
          <w:rFonts w:ascii="Times New Roman" w:hAnsi="Times New Roman" w:cs="Times New Roman"/>
          <w:sz w:val="24"/>
          <w:szCs w:val="24"/>
        </w:rPr>
        <w:t xml:space="preserve">d the same benefit. </w:t>
      </w:r>
    </w:p>
    <w:p w:rsidR="008E3F2A" w:rsidRPr="00B73D47" w:rsidRDefault="008E3F2A" w:rsidP="00FD322C">
      <w:pPr>
        <w:pStyle w:val="NoSpacing"/>
        <w:numPr>
          <w:ilvl w:val="1"/>
          <w:numId w:val="13"/>
        </w:numPr>
        <w:spacing w:after="240"/>
        <w:rPr>
          <w:rFonts w:ascii="Times New Roman" w:hAnsi="Times New Roman" w:cs="Times New Roman"/>
          <w:sz w:val="24"/>
          <w:szCs w:val="24"/>
        </w:rPr>
      </w:pPr>
      <w:r w:rsidRPr="00B73D47">
        <w:rPr>
          <w:rFonts w:ascii="Times New Roman" w:hAnsi="Times New Roman" w:cs="Times New Roman"/>
          <w:b/>
          <w:sz w:val="24"/>
          <w:szCs w:val="24"/>
        </w:rPr>
        <w:t>Efforts to Amend the Law</w:t>
      </w:r>
      <w:r w:rsidR="00915AE1">
        <w:rPr>
          <w:rFonts w:ascii="Times New Roman" w:hAnsi="Times New Roman" w:cs="Times New Roman"/>
          <w:b/>
          <w:sz w:val="24"/>
          <w:szCs w:val="24"/>
        </w:rPr>
        <w:t xml:space="preserve">. </w:t>
      </w:r>
    </w:p>
    <w:p w:rsidR="008E3F2A" w:rsidRPr="00B73D47" w:rsidRDefault="002C305D" w:rsidP="00FD322C">
      <w:pPr>
        <w:pStyle w:val="NoSpacing"/>
        <w:numPr>
          <w:ilvl w:val="2"/>
          <w:numId w:val="13"/>
        </w:numPr>
        <w:spacing w:after="240"/>
        <w:ind w:hanging="360"/>
        <w:rPr>
          <w:rFonts w:ascii="Times New Roman" w:hAnsi="Times New Roman" w:cs="Times New Roman"/>
          <w:sz w:val="24"/>
          <w:szCs w:val="24"/>
        </w:rPr>
      </w:pPr>
      <w:r w:rsidRPr="00B73D47">
        <w:rPr>
          <w:rFonts w:ascii="Times New Roman" w:hAnsi="Times New Roman" w:cs="Times New Roman"/>
          <w:sz w:val="24"/>
          <w:szCs w:val="24"/>
        </w:rPr>
        <w:t xml:space="preserve">For approximately 20 years, SAG-AFTRA has been seeking new legislation in NY to create a post-mortem right of publicity. In recent years, </w:t>
      </w:r>
      <w:r w:rsidR="008E3F2A" w:rsidRPr="00B73D47">
        <w:rPr>
          <w:rFonts w:ascii="Times New Roman" w:hAnsi="Times New Roman" w:cs="Times New Roman"/>
          <w:sz w:val="24"/>
          <w:szCs w:val="24"/>
        </w:rPr>
        <w:t xml:space="preserve">this </w:t>
      </w:r>
      <w:r w:rsidRPr="00B73D47">
        <w:rPr>
          <w:rFonts w:ascii="Times New Roman" w:hAnsi="Times New Roman" w:cs="Times New Roman"/>
          <w:sz w:val="24"/>
          <w:szCs w:val="24"/>
        </w:rPr>
        <w:t>effort expanded to also address “digital replicas” and sexually explicit deepfakes.</w:t>
      </w:r>
      <w:r w:rsidR="009F1BD3" w:rsidRPr="00B73D47">
        <w:rPr>
          <w:rFonts w:ascii="Times New Roman" w:hAnsi="Times New Roman" w:cs="Times New Roman"/>
          <w:sz w:val="24"/>
          <w:szCs w:val="24"/>
        </w:rPr>
        <w:t xml:space="preserve"> </w:t>
      </w:r>
    </w:p>
    <w:p w:rsidR="008E3F2A" w:rsidRPr="00B73D47" w:rsidRDefault="009F1BD3" w:rsidP="00FD322C">
      <w:pPr>
        <w:pStyle w:val="NoSpacing"/>
        <w:widowControl w:val="0"/>
        <w:numPr>
          <w:ilvl w:val="2"/>
          <w:numId w:val="13"/>
        </w:numPr>
        <w:spacing w:after="240"/>
        <w:ind w:hanging="360"/>
        <w:rPr>
          <w:rFonts w:ascii="Times New Roman" w:hAnsi="Times New Roman" w:cs="Times New Roman"/>
          <w:sz w:val="24"/>
          <w:szCs w:val="24"/>
        </w:rPr>
      </w:pPr>
      <w:r w:rsidRPr="00B73D47">
        <w:rPr>
          <w:rFonts w:ascii="Times New Roman" w:hAnsi="Times New Roman" w:cs="Times New Roman"/>
          <w:sz w:val="24"/>
          <w:szCs w:val="24"/>
        </w:rPr>
        <w:t>The Motion Picture Association—concerned that overly expansive legislation could interfere with its members’ ability to make movies and TV shows about and inspired by real people and events—was SAG-AFTRA’s primary foil, along with news organizations, First Amendment Advocates, photogra</w:t>
      </w:r>
      <w:r w:rsidR="00406851" w:rsidRPr="00B73D47">
        <w:rPr>
          <w:rFonts w:ascii="Times New Roman" w:hAnsi="Times New Roman" w:cs="Times New Roman"/>
          <w:sz w:val="24"/>
          <w:szCs w:val="24"/>
        </w:rPr>
        <w:t>phers, broadcasters and others.</w:t>
      </w:r>
    </w:p>
    <w:p w:rsidR="008E3F2A" w:rsidRPr="00B73D47" w:rsidRDefault="009F1BD3" w:rsidP="00FD322C">
      <w:pPr>
        <w:pStyle w:val="NoSpacing"/>
        <w:widowControl w:val="0"/>
        <w:numPr>
          <w:ilvl w:val="2"/>
          <w:numId w:val="13"/>
        </w:numPr>
        <w:spacing w:after="240"/>
        <w:ind w:hanging="360"/>
        <w:rPr>
          <w:rFonts w:ascii="Times New Roman" w:hAnsi="Times New Roman" w:cs="Times New Roman"/>
          <w:sz w:val="24"/>
          <w:szCs w:val="24"/>
        </w:rPr>
      </w:pPr>
      <w:r w:rsidRPr="00B73D47">
        <w:rPr>
          <w:rFonts w:ascii="Times New Roman" w:hAnsi="Times New Roman" w:cs="Times New Roman"/>
          <w:sz w:val="24"/>
          <w:szCs w:val="24"/>
        </w:rPr>
        <w:t xml:space="preserve">With the assistance of Deputy Senate Majority Leader Mike Gianaris, the two sides reached agreement in the </w:t>
      </w:r>
      <w:r w:rsidR="00833F8B" w:rsidRPr="00B73D47">
        <w:rPr>
          <w:rFonts w:ascii="Times New Roman" w:hAnsi="Times New Roman" w:cs="Times New Roman"/>
          <w:sz w:val="24"/>
          <w:szCs w:val="24"/>
        </w:rPr>
        <w:t>early summer</w:t>
      </w:r>
      <w:r w:rsidRPr="00B73D47">
        <w:rPr>
          <w:rFonts w:ascii="Times New Roman" w:hAnsi="Times New Roman" w:cs="Times New Roman"/>
          <w:sz w:val="24"/>
          <w:szCs w:val="24"/>
        </w:rPr>
        <w:t xml:space="preserve"> of 2020, and the legislature passed the bill with near unanimity.</w:t>
      </w:r>
    </w:p>
    <w:p w:rsidR="008E3F2A" w:rsidRPr="00B73D47" w:rsidRDefault="00506B68" w:rsidP="00FD322C">
      <w:pPr>
        <w:pStyle w:val="NoSpacing"/>
        <w:widowControl w:val="0"/>
        <w:numPr>
          <w:ilvl w:val="1"/>
          <w:numId w:val="13"/>
        </w:numPr>
        <w:spacing w:after="240"/>
        <w:rPr>
          <w:rFonts w:ascii="Times New Roman" w:hAnsi="Times New Roman" w:cs="Times New Roman"/>
          <w:sz w:val="24"/>
          <w:szCs w:val="24"/>
        </w:rPr>
      </w:pPr>
      <w:r w:rsidRPr="00B73D47">
        <w:rPr>
          <w:rFonts w:ascii="Times New Roman" w:hAnsi="Times New Roman" w:cs="Times New Roman"/>
          <w:b/>
          <w:sz w:val="24"/>
          <w:szCs w:val="24"/>
        </w:rPr>
        <w:t xml:space="preserve">What’s </w:t>
      </w:r>
      <w:r w:rsidRPr="00B73D47">
        <w:rPr>
          <w:rFonts w:ascii="Times New Roman" w:hAnsi="Times New Roman" w:cs="Times New Roman"/>
          <w:b/>
          <w:sz w:val="24"/>
          <w:szCs w:val="24"/>
          <w:u w:val="single"/>
        </w:rPr>
        <w:t>Not</w:t>
      </w:r>
      <w:r w:rsidRPr="00B73D47">
        <w:rPr>
          <w:rFonts w:ascii="Times New Roman" w:hAnsi="Times New Roman" w:cs="Times New Roman"/>
          <w:b/>
          <w:sz w:val="24"/>
          <w:szCs w:val="24"/>
        </w:rPr>
        <w:t xml:space="preserve"> in the </w:t>
      </w:r>
      <w:r w:rsidR="00B4236D" w:rsidRPr="00B73D47">
        <w:rPr>
          <w:rFonts w:ascii="Times New Roman" w:hAnsi="Times New Roman" w:cs="Times New Roman"/>
          <w:b/>
          <w:sz w:val="24"/>
          <w:szCs w:val="24"/>
        </w:rPr>
        <w:t>New Law</w:t>
      </w:r>
      <w:r w:rsidR="008E3F2A" w:rsidRPr="00B73D47">
        <w:rPr>
          <w:rFonts w:ascii="Times New Roman" w:hAnsi="Times New Roman" w:cs="Times New Roman"/>
          <w:b/>
          <w:sz w:val="24"/>
          <w:szCs w:val="24"/>
        </w:rPr>
        <w:t xml:space="preserve">:  </w:t>
      </w:r>
      <w:r w:rsidR="00B4236D" w:rsidRPr="00B73D47">
        <w:rPr>
          <w:rFonts w:ascii="Times New Roman" w:hAnsi="Times New Roman" w:cs="Times New Roman"/>
          <w:sz w:val="24"/>
          <w:szCs w:val="24"/>
        </w:rPr>
        <w:t xml:space="preserve">The </w:t>
      </w:r>
      <w:r w:rsidR="008E3F2A" w:rsidRPr="00B73D47">
        <w:rPr>
          <w:rFonts w:ascii="Times New Roman" w:hAnsi="Times New Roman" w:cs="Times New Roman"/>
          <w:sz w:val="24"/>
          <w:szCs w:val="24"/>
        </w:rPr>
        <w:t>new law</w:t>
      </w:r>
      <w:r w:rsidR="00B4236D" w:rsidRPr="00B73D47">
        <w:rPr>
          <w:rFonts w:ascii="Times New Roman" w:hAnsi="Times New Roman" w:cs="Times New Roman"/>
          <w:sz w:val="24"/>
          <w:szCs w:val="24"/>
        </w:rPr>
        <w:t xml:space="preserve"> does not amend </w:t>
      </w:r>
      <w:r w:rsidR="008E3F2A" w:rsidRPr="00B73D47">
        <w:rPr>
          <w:rFonts w:ascii="Times New Roman" w:hAnsi="Times New Roman" w:cs="Times New Roman"/>
          <w:sz w:val="24"/>
          <w:szCs w:val="24"/>
        </w:rPr>
        <w:t xml:space="preserve">the </w:t>
      </w:r>
      <w:r w:rsidR="00B4236D" w:rsidRPr="00B73D47">
        <w:rPr>
          <w:rFonts w:ascii="Times New Roman" w:hAnsi="Times New Roman" w:cs="Times New Roman"/>
          <w:sz w:val="24"/>
          <w:szCs w:val="24"/>
        </w:rPr>
        <w:t>existing</w:t>
      </w:r>
      <w:r w:rsidR="008E3F2A" w:rsidRPr="00B73D47">
        <w:rPr>
          <w:rFonts w:ascii="Times New Roman" w:hAnsi="Times New Roman" w:cs="Times New Roman"/>
          <w:sz w:val="24"/>
          <w:szCs w:val="24"/>
        </w:rPr>
        <w:t xml:space="preserve"> Sections 50 and 51 </w:t>
      </w:r>
      <w:r w:rsidR="00B4236D" w:rsidRPr="00B73D47">
        <w:rPr>
          <w:rFonts w:ascii="Times New Roman" w:hAnsi="Times New Roman" w:cs="Times New Roman"/>
          <w:sz w:val="24"/>
          <w:szCs w:val="24"/>
        </w:rPr>
        <w:t>at all. Th</w:t>
      </w:r>
      <w:r w:rsidR="008E3F2A" w:rsidRPr="00B73D47">
        <w:rPr>
          <w:rFonts w:ascii="Times New Roman" w:hAnsi="Times New Roman" w:cs="Times New Roman"/>
          <w:sz w:val="24"/>
          <w:szCs w:val="24"/>
        </w:rPr>
        <w:t>ose</w:t>
      </w:r>
      <w:r w:rsidR="00B4236D" w:rsidRPr="00B73D47">
        <w:rPr>
          <w:rFonts w:ascii="Times New Roman" w:hAnsi="Times New Roman" w:cs="Times New Roman"/>
          <w:sz w:val="24"/>
          <w:szCs w:val="24"/>
        </w:rPr>
        <w:t xml:space="preserve"> statute</w:t>
      </w:r>
      <w:r w:rsidR="008E3F2A" w:rsidRPr="00B73D47">
        <w:rPr>
          <w:rFonts w:ascii="Times New Roman" w:hAnsi="Times New Roman" w:cs="Times New Roman"/>
          <w:sz w:val="24"/>
          <w:szCs w:val="24"/>
        </w:rPr>
        <w:t>s</w:t>
      </w:r>
      <w:r w:rsidR="00B4236D" w:rsidRPr="00B73D47">
        <w:rPr>
          <w:rFonts w:ascii="Times New Roman" w:hAnsi="Times New Roman" w:cs="Times New Roman"/>
          <w:sz w:val="24"/>
          <w:szCs w:val="24"/>
        </w:rPr>
        <w:t xml:space="preserve"> remain on the books</w:t>
      </w:r>
      <w:r w:rsidR="008E3F2A" w:rsidRPr="00B73D47">
        <w:rPr>
          <w:rFonts w:ascii="Times New Roman" w:hAnsi="Times New Roman" w:cs="Times New Roman"/>
          <w:sz w:val="24"/>
          <w:szCs w:val="24"/>
        </w:rPr>
        <w:t xml:space="preserve"> and govern</w:t>
      </w:r>
      <w:r w:rsidR="00B4236D" w:rsidRPr="00B73D47">
        <w:rPr>
          <w:rFonts w:ascii="Times New Roman" w:hAnsi="Times New Roman" w:cs="Times New Roman"/>
          <w:sz w:val="24"/>
          <w:szCs w:val="24"/>
        </w:rPr>
        <w:t xml:space="preserve"> the use of </w:t>
      </w:r>
      <w:r w:rsidR="00B4236D" w:rsidRPr="00B73D47">
        <w:rPr>
          <w:rFonts w:ascii="Times New Roman" w:hAnsi="Times New Roman" w:cs="Times New Roman"/>
          <w:b/>
          <w:sz w:val="24"/>
          <w:szCs w:val="24"/>
          <w:u w:val="single"/>
        </w:rPr>
        <w:t>living</w:t>
      </w:r>
      <w:r w:rsidR="00B4236D" w:rsidRPr="00B73D47">
        <w:rPr>
          <w:rFonts w:ascii="Times New Roman" w:hAnsi="Times New Roman" w:cs="Times New Roman"/>
          <w:sz w:val="24"/>
          <w:szCs w:val="24"/>
        </w:rPr>
        <w:t xml:space="preserve"> individuals’ name, voice, photograph, or likeness in advertis</w:t>
      </w:r>
      <w:r w:rsidR="008E3F2A" w:rsidRPr="00B73D47">
        <w:rPr>
          <w:rFonts w:ascii="Times New Roman" w:hAnsi="Times New Roman" w:cs="Times New Roman"/>
          <w:sz w:val="24"/>
          <w:szCs w:val="24"/>
        </w:rPr>
        <w:t xml:space="preserve">ements or for purposes of trade. </w:t>
      </w:r>
    </w:p>
    <w:p w:rsidR="008E3F2A" w:rsidRPr="00B73D47" w:rsidRDefault="00B4236D" w:rsidP="00FD322C">
      <w:pPr>
        <w:pStyle w:val="NoSpacing"/>
        <w:widowControl w:val="0"/>
        <w:numPr>
          <w:ilvl w:val="1"/>
          <w:numId w:val="13"/>
        </w:numPr>
        <w:spacing w:after="240"/>
        <w:rPr>
          <w:rFonts w:ascii="Times New Roman" w:hAnsi="Times New Roman" w:cs="Times New Roman"/>
          <w:sz w:val="24"/>
          <w:szCs w:val="24"/>
        </w:rPr>
      </w:pPr>
      <w:r w:rsidRPr="00B73D47">
        <w:rPr>
          <w:rFonts w:ascii="Times New Roman" w:hAnsi="Times New Roman" w:cs="Times New Roman"/>
          <w:b/>
          <w:sz w:val="24"/>
          <w:szCs w:val="24"/>
        </w:rPr>
        <w:t>What</w:t>
      </w:r>
      <w:r w:rsidR="008E3F2A" w:rsidRPr="00B73D47">
        <w:rPr>
          <w:rFonts w:ascii="Times New Roman" w:hAnsi="Times New Roman" w:cs="Times New Roman"/>
          <w:b/>
          <w:sz w:val="24"/>
          <w:szCs w:val="24"/>
        </w:rPr>
        <w:t xml:space="preserve"> Is in the New Law:  </w:t>
      </w:r>
      <w:r w:rsidR="00506B68" w:rsidRPr="00B73D47">
        <w:rPr>
          <w:rFonts w:ascii="Times New Roman" w:hAnsi="Times New Roman" w:cs="Times New Roman"/>
          <w:sz w:val="24"/>
          <w:szCs w:val="24"/>
        </w:rPr>
        <w:t xml:space="preserve">The new </w:t>
      </w:r>
      <w:r w:rsidR="008E3F2A" w:rsidRPr="00B73D47">
        <w:rPr>
          <w:rFonts w:ascii="Times New Roman" w:hAnsi="Times New Roman" w:cs="Times New Roman"/>
          <w:sz w:val="24"/>
          <w:szCs w:val="24"/>
        </w:rPr>
        <w:t>law</w:t>
      </w:r>
      <w:r w:rsidR="00506B68" w:rsidRPr="00B73D47">
        <w:rPr>
          <w:rFonts w:ascii="Times New Roman" w:hAnsi="Times New Roman" w:cs="Times New Roman"/>
          <w:sz w:val="24"/>
          <w:szCs w:val="24"/>
        </w:rPr>
        <w:t xml:space="preserve"> creates three separate and distinct new rights:</w:t>
      </w:r>
    </w:p>
    <w:p w:rsidR="008E3F2A" w:rsidRPr="00B73D47" w:rsidRDefault="00506B68" w:rsidP="00FD322C">
      <w:pPr>
        <w:pStyle w:val="NoSpacing"/>
        <w:widowControl w:val="0"/>
        <w:numPr>
          <w:ilvl w:val="2"/>
          <w:numId w:val="13"/>
        </w:numPr>
        <w:spacing w:after="240"/>
        <w:ind w:hanging="360"/>
        <w:rPr>
          <w:rFonts w:ascii="Times New Roman" w:hAnsi="Times New Roman" w:cs="Times New Roman"/>
          <w:sz w:val="24"/>
          <w:szCs w:val="24"/>
        </w:rPr>
      </w:pPr>
      <w:r w:rsidRPr="00B73D47">
        <w:rPr>
          <w:rFonts w:ascii="Times New Roman" w:hAnsi="Times New Roman" w:cs="Times New Roman"/>
          <w:b/>
          <w:sz w:val="24"/>
          <w:szCs w:val="24"/>
        </w:rPr>
        <w:lastRenderedPageBreak/>
        <w:t>Post-Mortem Right of Publicit</w:t>
      </w:r>
      <w:r w:rsidR="000B1F9F" w:rsidRPr="00B73D47">
        <w:rPr>
          <w:rFonts w:ascii="Times New Roman" w:hAnsi="Times New Roman" w:cs="Times New Roman"/>
          <w:b/>
          <w:sz w:val="24"/>
          <w:szCs w:val="24"/>
        </w:rPr>
        <w:t xml:space="preserve">y:  </w:t>
      </w:r>
      <w:r w:rsidR="008E3F2A" w:rsidRPr="00B73D47">
        <w:rPr>
          <w:rFonts w:ascii="Times New Roman" w:hAnsi="Times New Roman" w:cs="Times New Roman"/>
          <w:sz w:val="24"/>
          <w:szCs w:val="24"/>
        </w:rPr>
        <w:t>New York Civ. Rights Law § </w:t>
      </w:r>
      <w:r w:rsidRPr="00B73D47">
        <w:rPr>
          <w:rFonts w:ascii="Times New Roman" w:hAnsi="Times New Roman" w:cs="Times New Roman"/>
          <w:sz w:val="24"/>
          <w:szCs w:val="24"/>
        </w:rPr>
        <w:t xml:space="preserve">50-f </w:t>
      </w:r>
      <w:r w:rsidR="008E3F2A" w:rsidRPr="00B73D47">
        <w:rPr>
          <w:rFonts w:ascii="Times New Roman" w:hAnsi="Times New Roman" w:cs="Times New Roman"/>
          <w:sz w:val="24"/>
          <w:szCs w:val="24"/>
        </w:rPr>
        <w:t xml:space="preserve">creates </w:t>
      </w:r>
      <w:r w:rsidRPr="00B73D47">
        <w:rPr>
          <w:rFonts w:ascii="Times New Roman" w:hAnsi="Times New Roman" w:cs="Times New Roman"/>
          <w:sz w:val="24"/>
          <w:szCs w:val="24"/>
        </w:rPr>
        <w:t xml:space="preserve">a new “right of publicity” for </w:t>
      </w:r>
      <w:r w:rsidRPr="00B73D47">
        <w:rPr>
          <w:rFonts w:ascii="Times New Roman" w:hAnsi="Times New Roman" w:cs="Times New Roman"/>
          <w:b/>
          <w:sz w:val="24"/>
          <w:szCs w:val="24"/>
          <w:u w:val="single"/>
        </w:rPr>
        <w:t>deceased</w:t>
      </w:r>
      <w:r w:rsidRPr="00B73D47">
        <w:rPr>
          <w:rFonts w:ascii="Times New Roman" w:hAnsi="Times New Roman" w:cs="Times New Roman"/>
          <w:sz w:val="24"/>
          <w:szCs w:val="24"/>
        </w:rPr>
        <w:t xml:space="preserve"> individuals who died </w:t>
      </w:r>
      <w:r w:rsidR="008E3F2A" w:rsidRPr="00B73D47">
        <w:rPr>
          <w:rFonts w:ascii="Times New Roman" w:hAnsi="Times New Roman" w:cs="Times New Roman"/>
          <w:sz w:val="24"/>
          <w:szCs w:val="24"/>
        </w:rPr>
        <w:t xml:space="preserve">while </w:t>
      </w:r>
      <w:r w:rsidRPr="00B73D47">
        <w:rPr>
          <w:rFonts w:ascii="Times New Roman" w:hAnsi="Times New Roman" w:cs="Times New Roman"/>
          <w:sz w:val="24"/>
          <w:szCs w:val="24"/>
        </w:rPr>
        <w:t xml:space="preserve">domiciled in NY. </w:t>
      </w:r>
    </w:p>
    <w:p w:rsidR="008E3F2A" w:rsidRPr="00B73D47" w:rsidRDefault="00506B68" w:rsidP="00FD322C">
      <w:pPr>
        <w:pStyle w:val="NoSpacing"/>
        <w:widowControl w:val="0"/>
        <w:numPr>
          <w:ilvl w:val="3"/>
          <w:numId w:val="14"/>
        </w:numPr>
        <w:spacing w:after="240"/>
        <w:rPr>
          <w:rFonts w:ascii="Times New Roman" w:hAnsi="Times New Roman" w:cs="Times New Roman"/>
          <w:sz w:val="24"/>
          <w:szCs w:val="24"/>
        </w:rPr>
      </w:pPr>
      <w:r w:rsidRPr="00B73D47">
        <w:rPr>
          <w:rFonts w:ascii="Times New Roman" w:hAnsi="Times New Roman" w:cs="Times New Roman"/>
          <w:sz w:val="24"/>
          <w:szCs w:val="24"/>
        </w:rPr>
        <w:t>This righ</w:t>
      </w:r>
      <w:r w:rsidR="008E3F2A" w:rsidRPr="00B73D47">
        <w:rPr>
          <w:rFonts w:ascii="Times New Roman" w:hAnsi="Times New Roman" w:cs="Times New Roman"/>
          <w:sz w:val="24"/>
          <w:szCs w:val="24"/>
        </w:rPr>
        <w:t>t extends 40 years after death</w:t>
      </w:r>
      <w:r w:rsidR="00915AE1">
        <w:rPr>
          <w:rFonts w:ascii="Times New Roman" w:hAnsi="Times New Roman" w:cs="Times New Roman"/>
          <w:sz w:val="24"/>
          <w:szCs w:val="24"/>
        </w:rPr>
        <w:t xml:space="preserve">. </w:t>
      </w:r>
      <w:r w:rsidR="008643CA">
        <w:rPr>
          <w:rFonts w:ascii="Times New Roman" w:hAnsi="Times New Roman" w:cs="Times New Roman"/>
          <w:sz w:val="24"/>
          <w:szCs w:val="24"/>
        </w:rPr>
        <w:t xml:space="preserve">N.Y. </w:t>
      </w:r>
      <w:r w:rsidR="008E3F2A" w:rsidRPr="00B73D47">
        <w:rPr>
          <w:rFonts w:ascii="Times New Roman" w:hAnsi="Times New Roman" w:cs="Times New Roman"/>
          <w:sz w:val="24"/>
          <w:szCs w:val="24"/>
        </w:rPr>
        <w:t>Civ. Rights Law</w:t>
      </w:r>
      <w:r w:rsidRPr="00B73D47">
        <w:rPr>
          <w:rFonts w:ascii="Times New Roman" w:hAnsi="Times New Roman" w:cs="Times New Roman"/>
          <w:sz w:val="24"/>
          <w:szCs w:val="24"/>
        </w:rPr>
        <w:t xml:space="preserve"> §</w:t>
      </w:r>
      <w:r w:rsidR="008E3F2A" w:rsidRPr="00B73D47">
        <w:rPr>
          <w:rFonts w:ascii="Times New Roman" w:hAnsi="Times New Roman" w:cs="Times New Roman"/>
          <w:sz w:val="24"/>
          <w:szCs w:val="24"/>
        </w:rPr>
        <w:t xml:space="preserve"> </w:t>
      </w:r>
      <w:r w:rsidRPr="00B73D47">
        <w:rPr>
          <w:rFonts w:ascii="Times New Roman" w:hAnsi="Times New Roman" w:cs="Times New Roman"/>
          <w:sz w:val="24"/>
          <w:szCs w:val="24"/>
        </w:rPr>
        <w:t xml:space="preserve">50-f (8). </w:t>
      </w:r>
    </w:p>
    <w:p w:rsidR="008E3F2A" w:rsidRPr="00B73D47" w:rsidRDefault="008E3F2A" w:rsidP="00FD322C">
      <w:pPr>
        <w:pStyle w:val="NoSpacing"/>
        <w:widowControl w:val="0"/>
        <w:numPr>
          <w:ilvl w:val="3"/>
          <w:numId w:val="14"/>
        </w:numPr>
        <w:spacing w:after="240"/>
        <w:rPr>
          <w:rFonts w:ascii="Times New Roman" w:hAnsi="Times New Roman" w:cs="Times New Roman"/>
          <w:sz w:val="24"/>
          <w:szCs w:val="24"/>
        </w:rPr>
      </w:pPr>
      <w:r w:rsidRPr="00B73D47">
        <w:rPr>
          <w:rFonts w:ascii="Times New Roman" w:hAnsi="Times New Roman" w:cs="Times New Roman"/>
          <w:sz w:val="24"/>
          <w:szCs w:val="24"/>
        </w:rPr>
        <w:t>The law</w:t>
      </w:r>
      <w:r w:rsidR="00833F8B" w:rsidRPr="00B73D47">
        <w:rPr>
          <w:rFonts w:ascii="Times New Roman" w:hAnsi="Times New Roman" w:cs="Times New Roman"/>
          <w:sz w:val="24"/>
          <w:szCs w:val="24"/>
        </w:rPr>
        <w:t xml:space="preserve"> </w:t>
      </w:r>
      <w:r w:rsidR="00506B68" w:rsidRPr="00B73D47">
        <w:rPr>
          <w:rFonts w:ascii="Times New Roman" w:hAnsi="Times New Roman" w:cs="Times New Roman"/>
          <w:sz w:val="24"/>
          <w:szCs w:val="24"/>
        </w:rPr>
        <w:t xml:space="preserve">covers uses of a “deceased personality’s name, voice, signature, photograph, or likeness…on or in products, merchandise, or goods, or for purposes of advertising or selling, or soliciting purchases” of such items. </w:t>
      </w:r>
      <w:r w:rsidR="008643CA">
        <w:rPr>
          <w:rFonts w:ascii="Times New Roman" w:hAnsi="Times New Roman" w:cs="Times New Roman"/>
          <w:i/>
          <w:sz w:val="24"/>
          <w:szCs w:val="24"/>
        </w:rPr>
        <w:t>Id.</w:t>
      </w:r>
      <w:r w:rsidRPr="00B73D47">
        <w:rPr>
          <w:rFonts w:ascii="Times New Roman" w:hAnsi="Times New Roman" w:cs="Times New Roman"/>
          <w:sz w:val="24"/>
          <w:szCs w:val="24"/>
        </w:rPr>
        <w:t xml:space="preserve"> </w:t>
      </w:r>
      <w:r w:rsidR="00833F8B" w:rsidRPr="00B73D47">
        <w:rPr>
          <w:rFonts w:ascii="Times New Roman" w:hAnsi="Times New Roman" w:cs="Times New Roman"/>
          <w:sz w:val="24"/>
          <w:szCs w:val="24"/>
        </w:rPr>
        <w:t>§</w:t>
      </w:r>
      <w:r w:rsidRPr="00B73D47">
        <w:rPr>
          <w:rFonts w:ascii="Times New Roman" w:hAnsi="Times New Roman" w:cs="Times New Roman"/>
          <w:sz w:val="24"/>
          <w:szCs w:val="24"/>
        </w:rPr>
        <w:t xml:space="preserve"> </w:t>
      </w:r>
      <w:r w:rsidR="00833F8B" w:rsidRPr="00B73D47">
        <w:rPr>
          <w:rFonts w:ascii="Times New Roman" w:hAnsi="Times New Roman" w:cs="Times New Roman"/>
          <w:sz w:val="24"/>
          <w:szCs w:val="24"/>
        </w:rPr>
        <w:t xml:space="preserve">50-f (1)(b). </w:t>
      </w:r>
    </w:p>
    <w:p w:rsidR="008E3F2A" w:rsidRPr="00B73D47" w:rsidRDefault="008E3F2A" w:rsidP="00FD322C">
      <w:pPr>
        <w:pStyle w:val="NoSpacing"/>
        <w:widowControl w:val="0"/>
        <w:numPr>
          <w:ilvl w:val="3"/>
          <w:numId w:val="14"/>
        </w:numPr>
        <w:spacing w:after="240"/>
        <w:rPr>
          <w:rFonts w:ascii="Times New Roman" w:hAnsi="Times New Roman" w:cs="Times New Roman"/>
          <w:sz w:val="24"/>
          <w:szCs w:val="24"/>
        </w:rPr>
      </w:pPr>
      <w:r w:rsidRPr="00B73D47">
        <w:rPr>
          <w:rFonts w:ascii="Times New Roman" w:hAnsi="Times New Roman" w:cs="Times New Roman"/>
          <w:sz w:val="24"/>
          <w:szCs w:val="24"/>
        </w:rPr>
        <w:t xml:space="preserve">This </w:t>
      </w:r>
      <w:r w:rsidR="00506B68" w:rsidRPr="00B73D47">
        <w:rPr>
          <w:rFonts w:ascii="Times New Roman" w:hAnsi="Times New Roman" w:cs="Times New Roman"/>
          <w:sz w:val="24"/>
          <w:szCs w:val="24"/>
        </w:rPr>
        <w:t xml:space="preserve">right only applies to those whose such attributes “ha[ve] commercial value at the time of his or her death, or because of his or her death.” </w:t>
      </w:r>
      <w:r w:rsidR="00506B68" w:rsidRPr="00B73D47">
        <w:rPr>
          <w:rFonts w:ascii="Times New Roman" w:hAnsi="Times New Roman" w:cs="Times New Roman"/>
          <w:i/>
          <w:sz w:val="24"/>
          <w:szCs w:val="24"/>
        </w:rPr>
        <w:t>Id</w:t>
      </w:r>
      <w:r w:rsidR="00506B68" w:rsidRPr="00B73D47">
        <w:rPr>
          <w:rFonts w:ascii="Times New Roman" w:hAnsi="Times New Roman" w:cs="Times New Roman"/>
          <w:sz w:val="24"/>
          <w:szCs w:val="24"/>
        </w:rPr>
        <w:t xml:space="preserve">. </w:t>
      </w:r>
    </w:p>
    <w:p w:rsidR="00506B68" w:rsidRPr="00B73D47" w:rsidRDefault="000B1F9F" w:rsidP="00FD322C">
      <w:pPr>
        <w:pStyle w:val="NoSpacing"/>
        <w:widowControl w:val="0"/>
        <w:numPr>
          <w:ilvl w:val="2"/>
          <w:numId w:val="14"/>
        </w:numPr>
        <w:spacing w:after="240"/>
        <w:ind w:hanging="360"/>
        <w:rPr>
          <w:rFonts w:ascii="Times New Roman" w:hAnsi="Times New Roman" w:cs="Times New Roman"/>
          <w:sz w:val="24"/>
          <w:szCs w:val="24"/>
        </w:rPr>
      </w:pPr>
      <w:r w:rsidRPr="00B73D47">
        <w:rPr>
          <w:rFonts w:ascii="Times New Roman" w:hAnsi="Times New Roman" w:cs="Times New Roman"/>
          <w:b/>
          <w:sz w:val="24"/>
          <w:szCs w:val="24"/>
        </w:rPr>
        <w:t>Expressive Works Exemption</w:t>
      </w:r>
      <w:r w:rsidR="00915AE1">
        <w:rPr>
          <w:rFonts w:ascii="Times New Roman" w:hAnsi="Times New Roman" w:cs="Times New Roman"/>
          <w:b/>
          <w:sz w:val="24"/>
          <w:szCs w:val="24"/>
        </w:rPr>
        <w:t xml:space="preserve">. </w:t>
      </w:r>
      <w:r w:rsidRPr="00B73D47">
        <w:rPr>
          <w:rFonts w:ascii="Times New Roman" w:hAnsi="Times New Roman" w:cs="Times New Roman"/>
          <w:sz w:val="24"/>
          <w:szCs w:val="24"/>
        </w:rPr>
        <w:t>The Right of Publicity</w:t>
      </w:r>
      <w:r w:rsidR="00833F8B" w:rsidRPr="00B73D47">
        <w:rPr>
          <w:rFonts w:ascii="Times New Roman" w:hAnsi="Times New Roman" w:cs="Times New Roman"/>
          <w:sz w:val="24"/>
          <w:szCs w:val="24"/>
        </w:rPr>
        <w:t xml:space="preserve"> provision </w:t>
      </w:r>
      <w:r w:rsidR="00506B68" w:rsidRPr="00B73D47">
        <w:rPr>
          <w:rFonts w:ascii="Times New Roman" w:hAnsi="Times New Roman" w:cs="Times New Roman"/>
          <w:sz w:val="24"/>
          <w:szCs w:val="24"/>
        </w:rPr>
        <w:t>contains a robust expressive works exemption, which excludes from the scope of the new right uses in:</w:t>
      </w:r>
    </w:p>
    <w:p w:rsidR="00506B68" w:rsidRPr="00B73D47" w:rsidRDefault="00506B68" w:rsidP="00FD322C">
      <w:pPr>
        <w:widowControl w:val="0"/>
        <w:spacing w:after="240" w:line="240" w:lineRule="auto"/>
        <w:ind w:left="2880" w:right="720"/>
        <w:rPr>
          <w:rFonts w:ascii="Times New Roman" w:hAnsi="Times New Roman" w:cs="Times New Roman"/>
          <w:sz w:val="24"/>
          <w:szCs w:val="24"/>
        </w:rPr>
      </w:pPr>
      <w:r w:rsidRPr="00B73D47">
        <w:rPr>
          <w:rFonts w:ascii="Times New Roman" w:hAnsi="Times New Roman" w:cs="Times New Roman"/>
          <w:sz w:val="24"/>
          <w:szCs w:val="24"/>
        </w:rPr>
        <w:t xml:space="preserve">a play, book, magazine, newspaper, or other literary work; musical work or composition; work of art or other visual work; work of political, public interest, educational or newsworthy value, including comment, criticism, parody or satire; audio or audiovisual work, radio or television program, if it is fictional or nonfictional entertainment; or an advertisement or commercial announcement for any of the foregoing works. </w:t>
      </w:r>
      <w:r w:rsidRPr="00B73D47">
        <w:rPr>
          <w:rFonts w:ascii="Times New Roman" w:hAnsi="Times New Roman" w:cs="Times New Roman"/>
          <w:i/>
          <w:sz w:val="24"/>
          <w:szCs w:val="24"/>
        </w:rPr>
        <w:t>Id</w:t>
      </w:r>
      <w:r w:rsidRPr="00B73D47">
        <w:rPr>
          <w:rFonts w:ascii="Times New Roman" w:hAnsi="Times New Roman" w:cs="Times New Roman"/>
          <w:sz w:val="24"/>
          <w:szCs w:val="24"/>
        </w:rPr>
        <w:t xml:space="preserve">. §50-f(2)(d)(i). </w:t>
      </w:r>
    </w:p>
    <w:p w:rsidR="000B1F9F" w:rsidRPr="00B73D47" w:rsidRDefault="00506B68" w:rsidP="00FD322C">
      <w:pPr>
        <w:widowControl w:val="0"/>
        <w:spacing w:after="240" w:line="240" w:lineRule="auto"/>
        <w:ind w:left="1800"/>
        <w:rPr>
          <w:rFonts w:ascii="Times New Roman" w:hAnsi="Times New Roman" w:cs="Times New Roman"/>
          <w:sz w:val="24"/>
          <w:szCs w:val="24"/>
        </w:rPr>
      </w:pPr>
      <w:r w:rsidRPr="00B73D47">
        <w:rPr>
          <w:rFonts w:ascii="Times New Roman" w:hAnsi="Times New Roman" w:cs="Times New Roman"/>
          <w:sz w:val="24"/>
          <w:szCs w:val="24"/>
        </w:rPr>
        <w:t xml:space="preserve">It also exempts uses “in connection with any news, public affairs, or sports program or account, regardless of format, medium or means of transmission, or any political campaign.” </w:t>
      </w:r>
      <w:r w:rsidRPr="00B73D47">
        <w:rPr>
          <w:rFonts w:ascii="Times New Roman" w:hAnsi="Times New Roman" w:cs="Times New Roman"/>
          <w:i/>
          <w:sz w:val="24"/>
          <w:szCs w:val="24"/>
        </w:rPr>
        <w:t>Id</w:t>
      </w:r>
      <w:r w:rsidRPr="00B73D47">
        <w:rPr>
          <w:rFonts w:ascii="Times New Roman" w:hAnsi="Times New Roman" w:cs="Times New Roman"/>
          <w:sz w:val="24"/>
          <w:szCs w:val="24"/>
        </w:rPr>
        <w:t xml:space="preserve">. §50-f(2)(d)(iii). </w:t>
      </w:r>
    </w:p>
    <w:p w:rsidR="000B1F9F" w:rsidRPr="00B73D47" w:rsidRDefault="000B1F9F" w:rsidP="00FD322C">
      <w:pPr>
        <w:widowControl w:val="0"/>
        <w:numPr>
          <w:ilvl w:val="2"/>
          <w:numId w:val="14"/>
        </w:numPr>
        <w:spacing w:after="240" w:line="240" w:lineRule="auto"/>
        <w:ind w:hanging="360"/>
        <w:rPr>
          <w:rFonts w:ascii="Times New Roman" w:hAnsi="Times New Roman" w:cs="Times New Roman"/>
          <w:sz w:val="24"/>
          <w:szCs w:val="24"/>
        </w:rPr>
      </w:pPr>
      <w:r w:rsidRPr="00B73D47">
        <w:rPr>
          <w:rFonts w:ascii="Times New Roman" w:hAnsi="Times New Roman" w:cs="Times New Roman"/>
          <w:b/>
          <w:sz w:val="24"/>
          <w:szCs w:val="24"/>
        </w:rPr>
        <w:t>Registry</w:t>
      </w:r>
      <w:r w:rsidR="00915AE1">
        <w:rPr>
          <w:rFonts w:ascii="Times New Roman" w:hAnsi="Times New Roman" w:cs="Times New Roman"/>
          <w:b/>
          <w:sz w:val="24"/>
          <w:szCs w:val="24"/>
        </w:rPr>
        <w:t xml:space="preserve">. </w:t>
      </w:r>
      <w:r w:rsidR="00506B68" w:rsidRPr="00B73D47">
        <w:rPr>
          <w:rFonts w:ascii="Times New Roman" w:hAnsi="Times New Roman" w:cs="Times New Roman"/>
          <w:sz w:val="24"/>
          <w:szCs w:val="24"/>
        </w:rPr>
        <w:t>As in California and other states, the law establishes</w:t>
      </w:r>
      <w:r w:rsidR="00AB2A90" w:rsidRPr="00B73D47">
        <w:rPr>
          <w:rFonts w:ascii="Times New Roman" w:hAnsi="Times New Roman" w:cs="Times New Roman"/>
          <w:sz w:val="24"/>
          <w:szCs w:val="24"/>
        </w:rPr>
        <w:t xml:space="preserve"> a publicly </w:t>
      </w:r>
      <w:r w:rsidR="00506B68" w:rsidRPr="00B73D47">
        <w:rPr>
          <w:rFonts w:ascii="Times New Roman" w:hAnsi="Times New Roman" w:cs="Times New Roman"/>
          <w:sz w:val="24"/>
          <w:szCs w:val="24"/>
        </w:rPr>
        <w:t xml:space="preserve">accessible registry for post-mortem rights; rights must be registered to be enforceable. </w:t>
      </w:r>
      <w:r w:rsidR="00506B68" w:rsidRPr="00B73D47">
        <w:rPr>
          <w:rFonts w:ascii="Times New Roman" w:hAnsi="Times New Roman" w:cs="Times New Roman"/>
          <w:i/>
          <w:sz w:val="24"/>
          <w:szCs w:val="24"/>
        </w:rPr>
        <w:t>Id</w:t>
      </w:r>
      <w:r w:rsidR="00506B68" w:rsidRPr="00B73D47">
        <w:rPr>
          <w:rFonts w:ascii="Times New Roman" w:hAnsi="Times New Roman" w:cs="Times New Roman"/>
          <w:sz w:val="24"/>
          <w:szCs w:val="24"/>
        </w:rPr>
        <w:t>. §50-f(7).</w:t>
      </w:r>
    </w:p>
    <w:p w:rsidR="000B1F9F" w:rsidRPr="00B73D47" w:rsidRDefault="00506B68" w:rsidP="00FD322C">
      <w:pPr>
        <w:widowControl w:val="0"/>
        <w:numPr>
          <w:ilvl w:val="2"/>
          <w:numId w:val="14"/>
        </w:numPr>
        <w:spacing w:after="240" w:line="240" w:lineRule="auto"/>
        <w:ind w:hanging="360"/>
        <w:rPr>
          <w:rFonts w:ascii="Times New Roman" w:hAnsi="Times New Roman" w:cs="Times New Roman"/>
          <w:sz w:val="24"/>
          <w:szCs w:val="24"/>
        </w:rPr>
      </w:pPr>
      <w:r w:rsidRPr="00B73D47">
        <w:rPr>
          <w:rFonts w:ascii="Times New Roman" w:hAnsi="Times New Roman" w:cs="Times New Roman"/>
          <w:b/>
          <w:sz w:val="24"/>
          <w:szCs w:val="24"/>
        </w:rPr>
        <w:t>Digital Replicas of Deceased Performers</w:t>
      </w:r>
      <w:r w:rsidR="00915AE1">
        <w:rPr>
          <w:rFonts w:ascii="Times New Roman" w:hAnsi="Times New Roman" w:cs="Times New Roman"/>
          <w:b/>
          <w:sz w:val="24"/>
          <w:szCs w:val="24"/>
        </w:rPr>
        <w:t xml:space="preserve">. </w:t>
      </w:r>
      <w:r w:rsidR="000B1F9F" w:rsidRPr="00B73D47">
        <w:rPr>
          <w:rFonts w:ascii="Times New Roman" w:hAnsi="Times New Roman" w:cs="Times New Roman"/>
          <w:sz w:val="24"/>
          <w:szCs w:val="24"/>
        </w:rPr>
        <w:t>The law includes a n</w:t>
      </w:r>
      <w:r w:rsidRPr="00B73D47">
        <w:rPr>
          <w:rFonts w:ascii="Times New Roman" w:hAnsi="Times New Roman" w:cs="Times New Roman"/>
          <w:sz w:val="24"/>
          <w:szCs w:val="24"/>
        </w:rPr>
        <w:t>ovel right against deceptive uses of a digital replica of a deceased performer who died domiciled in New York</w:t>
      </w:r>
      <w:r w:rsidR="00915AE1">
        <w:rPr>
          <w:rFonts w:ascii="Times New Roman" w:hAnsi="Times New Roman" w:cs="Times New Roman"/>
          <w:sz w:val="24"/>
          <w:szCs w:val="24"/>
        </w:rPr>
        <w:t xml:space="preserve">. </w:t>
      </w:r>
      <w:r w:rsidR="000B1F9F" w:rsidRPr="00B73D47">
        <w:rPr>
          <w:rFonts w:ascii="Times New Roman" w:hAnsi="Times New Roman" w:cs="Times New Roman"/>
          <w:i/>
          <w:sz w:val="24"/>
          <w:szCs w:val="24"/>
        </w:rPr>
        <w:t xml:space="preserve">See </w:t>
      </w:r>
      <w:r w:rsidR="008643CA">
        <w:rPr>
          <w:rFonts w:ascii="Times New Roman" w:hAnsi="Times New Roman" w:cs="Times New Roman"/>
          <w:i/>
          <w:sz w:val="24"/>
          <w:szCs w:val="24"/>
        </w:rPr>
        <w:t>id.</w:t>
      </w:r>
      <w:r w:rsidR="00AB2A90" w:rsidRPr="00B73D47">
        <w:rPr>
          <w:rFonts w:ascii="Times New Roman" w:hAnsi="Times New Roman" w:cs="Times New Roman"/>
          <w:sz w:val="24"/>
          <w:szCs w:val="24"/>
        </w:rPr>
        <w:t xml:space="preserve"> § 50-f(2)(b)</w:t>
      </w:r>
      <w:r w:rsidR="00915AE1">
        <w:rPr>
          <w:rFonts w:ascii="Times New Roman" w:hAnsi="Times New Roman" w:cs="Times New Roman"/>
          <w:sz w:val="24"/>
          <w:szCs w:val="24"/>
        </w:rPr>
        <w:t xml:space="preserve">. </w:t>
      </w:r>
    </w:p>
    <w:p w:rsidR="000B1F9F" w:rsidRPr="00B73D47" w:rsidRDefault="000B1F9F" w:rsidP="00FD322C">
      <w:pPr>
        <w:widowControl w:val="0"/>
        <w:numPr>
          <w:ilvl w:val="3"/>
          <w:numId w:val="14"/>
        </w:numPr>
        <w:spacing w:after="240" w:line="240" w:lineRule="auto"/>
        <w:rPr>
          <w:rFonts w:ascii="Times New Roman" w:hAnsi="Times New Roman" w:cs="Times New Roman"/>
          <w:sz w:val="24"/>
          <w:szCs w:val="24"/>
        </w:rPr>
      </w:pPr>
      <w:r w:rsidRPr="00B73D47">
        <w:rPr>
          <w:rFonts w:ascii="Times New Roman" w:hAnsi="Times New Roman" w:cs="Times New Roman"/>
          <w:sz w:val="24"/>
          <w:szCs w:val="24"/>
        </w:rPr>
        <w:t>This right is m</w:t>
      </w:r>
      <w:r w:rsidR="00506B68" w:rsidRPr="00B73D47">
        <w:rPr>
          <w:rFonts w:ascii="Times New Roman" w:hAnsi="Times New Roman" w:cs="Times New Roman"/>
          <w:sz w:val="24"/>
          <w:szCs w:val="24"/>
        </w:rPr>
        <w:t xml:space="preserve">ore accurately described as a consumer-fraud provision than </w:t>
      </w:r>
      <w:r w:rsidR="00AB2A90" w:rsidRPr="00B73D47">
        <w:rPr>
          <w:rFonts w:ascii="Times New Roman" w:hAnsi="Times New Roman" w:cs="Times New Roman"/>
          <w:sz w:val="24"/>
          <w:szCs w:val="24"/>
        </w:rPr>
        <w:t>an intellectual property right.</w:t>
      </w:r>
    </w:p>
    <w:p w:rsidR="000B1F9F" w:rsidRPr="00B73D47" w:rsidRDefault="00506B68" w:rsidP="00FD322C">
      <w:pPr>
        <w:widowControl w:val="0"/>
        <w:numPr>
          <w:ilvl w:val="3"/>
          <w:numId w:val="14"/>
        </w:numPr>
        <w:spacing w:after="240" w:line="240" w:lineRule="auto"/>
        <w:rPr>
          <w:rFonts w:ascii="Times New Roman" w:hAnsi="Times New Roman" w:cs="Times New Roman"/>
          <w:sz w:val="24"/>
          <w:szCs w:val="24"/>
        </w:rPr>
      </w:pPr>
      <w:r w:rsidRPr="00B73D47">
        <w:rPr>
          <w:rFonts w:ascii="Times New Roman" w:hAnsi="Times New Roman" w:cs="Times New Roman"/>
          <w:sz w:val="24"/>
          <w:szCs w:val="24"/>
        </w:rPr>
        <w:t>The provision applies only to uses of a “digital replica</w:t>
      </w:r>
      <w:r w:rsidR="000B1F9F" w:rsidRPr="00B73D47">
        <w:rPr>
          <w:rFonts w:ascii="Times New Roman" w:hAnsi="Times New Roman" w:cs="Times New Roman"/>
          <w:sz w:val="24"/>
          <w:szCs w:val="24"/>
        </w:rPr>
        <w:t>,</w:t>
      </w:r>
      <w:r w:rsidRPr="00B73D47">
        <w:rPr>
          <w:rFonts w:ascii="Times New Roman" w:hAnsi="Times New Roman" w:cs="Times New Roman"/>
          <w:sz w:val="24"/>
          <w:szCs w:val="24"/>
        </w:rPr>
        <w:t xml:space="preserve">” </w:t>
      </w:r>
      <w:r w:rsidR="000B1F9F" w:rsidRPr="00B73D47">
        <w:rPr>
          <w:rFonts w:ascii="Times New Roman" w:hAnsi="Times New Roman" w:cs="Times New Roman"/>
          <w:sz w:val="24"/>
          <w:szCs w:val="24"/>
        </w:rPr>
        <w:t>as defined in Sec</w:t>
      </w:r>
      <w:r w:rsidR="008643CA">
        <w:rPr>
          <w:rFonts w:ascii="Times New Roman" w:hAnsi="Times New Roman" w:cs="Times New Roman"/>
          <w:sz w:val="24"/>
          <w:szCs w:val="24"/>
        </w:rPr>
        <w:t>tion</w:t>
      </w:r>
      <w:r w:rsidR="000B1F9F" w:rsidRPr="00B73D47">
        <w:rPr>
          <w:rFonts w:ascii="Times New Roman" w:hAnsi="Times New Roman" w:cs="Times New Roman"/>
          <w:sz w:val="24"/>
          <w:szCs w:val="24"/>
        </w:rPr>
        <w:t xml:space="preserve"> 50-f(1)(c),</w:t>
      </w:r>
      <w:r w:rsidRPr="00B73D47">
        <w:rPr>
          <w:rFonts w:ascii="Times New Roman" w:hAnsi="Times New Roman" w:cs="Times New Roman"/>
          <w:sz w:val="24"/>
          <w:szCs w:val="24"/>
        </w:rPr>
        <w:t xml:space="preserve"> in a “scripted audiovisual work as a fictional character or for the live performance of a musical work.” </w:t>
      </w:r>
      <w:r w:rsidR="000B1F9F" w:rsidRPr="00B73D47">
        <w:rPr>
          <w:rFonts w:ascii="Times New Roman" w:hAnsi="Times New Roman" w:cs="Times New Roman"/>
          <w:sz w:val="24"/>
          <w:szCs w:val="24"/>
        </w:rPr>
        <w:t xml:space="preserve"> </w:t>
      </w:r>
      <w:r w:rsidRPr="00B73D47">
        <w:rPr>
          <w:rFonts w:ascii="Times New Roman" w:hAnsi="Times New Roman" w:cs="Times New Roman"/>
          <w:i/>
          <w:sz w:val="24"/>
          <w:szCs w:val="24"/>
        </w:rPr>
        <w:t>Id</w:t>
      </w:r>
      <w:r w:rsidRPr="00B73D47">
        <w:rPr>
          <w:rFonts w:ascii="Times New Roman" w:hAnsi="Times New Roman" w:cs="Times New Roman"/>
          <w:sz w:val="24"/>
          <w:szCs w:val="24"/>
        </w:rPr>
        <w:t xml:space="preserve">. §50-f(2)(b). </w:t>
      </w:r>
    </w:p>
    <w:p w:rsidR="000B1F9F" w:rsidRPr="00B73D47" w:rsidRDefault="00A65E44" w:rsidP="00FD322C">
      <w:pPr>
        <w:widowControl w:val="0"/>
        <w:numPr>
          <w:ilvl w:val="3"/>
          <w:numId w:val="14"/>
        </w:numPr>
        <w:spacing w:after="240" w:line="240" w:lineRule="auto"/>
        <w:rPr>
          <w:rFonts w:ascii="Times New Roman" w:hAnsi="Times New Roman" w:cs="Times New Roman"/>
          <w:sz w:val="24"/>
          <w:szCs w:val="24"/>
        </w:rPr>
      </w:pPr>
      <w:r w:rsidRPr="00B73D47">
        <w:rPr>
          <w:rFonts w:ascii="Times New Roman" w:hAnsi="Times New Roman" w:cs="Times New Roman"/>
          <w:sz w:val="24"/>
          <w:szCs w:val="24"/>
        </w:rPr>
        <w:lastRenderedPageBreak/>
        <w:t>O</w:t>
      </w:r>
      <w:r w:rsidR="00506B68" w:rsidRPr="00B73D47">
        <w:rPr>
          <w:rFonts w:ascii="Times New Roman" w:hAnsi="Times New Roman" w:cs="Times New Roman"/>
          <w:sz w:val="24"/>
          <w:szCs w:val="24"/>
        </w:rPr>
        <w:t>nly applies “if the use is likely to deceive the public into thinking it was authorized by” specified heirs of the deceased performer</w:t>
      </w:r>
      <w:r w:rsidR="00915AE1">
        <w:rPr>
          <w:rFonts w:ascii="Times New Roman" w:hAnsi="Times New Roman" w:cs="Times New Roman"/>
          <w:sz w:val="24"/>
          <w:szCs w:val="24"/>
        </w:rPr>
        <w:t xml:space="preserve">. </w:t>
      </w:r>
      <w:r w:rsidR="00506B68" w:rsidRPr="00B73D47">
        <w:rPr>
          <w:rFonts w:ascii="Times New Roman" w:hAnsi="Times New Roman" w:cs="Times New Roman"/>
          <w:i/>
          <w:sz w:val="24"/>
          <w:szCs w:val="24"/>
        </w:rPr>
        <w:t>Id</w:t>
      </w:r>
      <w:r w:rsidR="000B1F9F" w:rsidRPr="00B73D47">
        <w:rPr>
          <w:rFonts w:ascii="Times New Roman" w:hAnsi="Times New Roman" w:cs="Times New Roman"/>
          <w:sz w:val="24"/>
          <w:szCs w:val="24"/>
        </w:rPr>
        <w:t>.</w:t>
      </w:r>
    </w:p>
    <w:p w:rsidR="000B1F9F" w:rsidRPr="00B73D47" w:rsidRDefault="00AD378F" w:rsidP="00FD322C">
      <w:pPr>
        <w:widowControl w:val="0"/>
        <w:numPr>
          <w:ilvl w:val="3"/>
          <w:numId w:val="14"/>
        </w:numPr>
        <w:spacing w:after="240" w:line="240" w:lineRule="auto"/>
        <w:rPr>
          <w:rFonts w:ascii="Times New Roman" w:hAnsi="Times New Roman" w:cs="Times New Roman"/>
          <w:sz w:val="24"/>
          <w:szCs w:val="24"/>
        </w:rPr>
      </w:pPr>
      <w:r w:rsidRPr="00B73D47">
        <w:rPr>
          <w:rFonts w:ascii="Times New Roman" w:hAnsi="Times New Roman" w:cs="Times New Roman"/>
          <w:b/>
          <w:i/>
          <w:sz w:val="24"/>
          <w:szCs w:val="24"/>
        </w:rPr>
        <w:t>Disclaimer</w:t>
      </w:r>
      <w:r w:rsidR="00915AE1">
        <w:rPr>
          <w:rFonts w:ascii="Times New Roman" w:hAnsi="Times New Roman" w:cs="Times New Roman"/>
          <w:b/>
          <w:i/>
          <w:sz w:val="24"/>
          <w:szCs w:val="24"/>
        </w:rPr>
        <w:t xml:space="preserve">. </w:t>
      </w:r>
      <w:r w:rsidR="00A65E44" w:rsidRPr="00B73D47">
        <w:rPr>
          <w:rFonts w:ascii="Times New Roman" w:hAnsi="Times New Roman" w:cs="Times New Roman"/>
          <w:sz w:val="24"/>
          <w:szCs w:val="24"/>
        </w:rPr>
        <w:t>N</w:t>
      </w:r>
      <w:r w:rsidR="00506B68" w:rsidRPr="00B73D47">
        <w:rPr>
          <w:rFonts w:ascii="Times New Roman" w:hAnsi="Times New Roman" w:cs="Times New Roman"/>
          <w:sz w:val="24"/>
          <w:szCs w:val="24"/>
        </w:rPr>
        <w:t>o cause of action</w:t>
      </w:r>
      <w:r w:rsidR="000B1F9F" w:rsidRPr="00B73D47">
        <w:rPr>
          <w:rFonts w:ascii="Times New Roman" w:hAnsi="Times New Roman" w:cs="Times New Roman"/>
          <w:sz w:val="24"/>
          <w:szCs w:val="24"/>
        </w:rPr>
        <w:t xml:space="preserve"> will lie</w:t>
      </w:r>
      <w:r w:rsidR="00506B68" w:rsidRPr="00B73D47">
        <w:rPr>
          <w:rFonts w:ascii="Times New Roman" w:hAnsi="Times New Roman" w:cs="Times New Roman"/>
          <w:sz w:val="24"/>
          <w:szCs w:val="24"/>
        </w:rPr>
        <w:t xml:space="preserve"> if the credits for the work contain a “conspicuous disclaimer…stating that the use of the digital replica has not been authorized by” heirs</w:t>
      </w:r>
      <w:r w:rsidR="00915AE1">
        <w:rPr>
          <w:rFonts w:ascii="Times New Roman" w:hAnsi="Times New Roman" w:cs="Times New Roman"/>
          <w:sz w:val="24"/>
          <w:szCs w:val="24"/>
        </w:rPr>
        <w:t xml:space="preserve">. </w:t>
      </w:r>
      <w:r w:rsidR="00506B68" w:rsidRPr="00B73D47">
        <w:rPr>
          <w:rFonts w:ascii="Times New Roman" w:hAnsi="Times New Roman" w:cs="Times New Roman"/>
          <w:i/>
          <w:sz w:val="24"/>
          <w:szCs w:val="24"/>
        </w:rPr>
        <w:t>Id</w:t>
      </w:r>
      <w:r w:rsidR="00506B68" w:rsidRPr="00B73D47">
        <w:rPr>
          <w:rFonts w:ascii="Times New Roman" w:hAnsi="Times New Roman" w:cs="Times New Roman"/>
          <w:sz w:val="24"/>
          <w:szCs w:val="24"/>
        </w:rPr>
        <w:t xml:space="preserve">. </w:t>
      </w:r>
    </w:p>
    <w:p w:rsidR="000B1F9F" w:rsidRPr="00B73D47" w:rsidRDefault="00AB2A90" w:rsidP="00FD322C">
      <w:pPr>
        <w:widowControl w:val="0"/>
        <w:numPr>
          <w:ilvl w:val="3"/>
          <w:numId w:val="14"/>
        </w:numPr>
        <w:spacing w:after="240" w:line="240" w:lineRule="auto"/>
        <w:rPr>
          <w:rFonts w:ascii="Times New Roman" w:hAnsi="Times New Roman" w:cs="Times New Roman"/>
          <w:sz w:val="24"/>
          <w:szCs w:val="24"/>
        </w:rPr>
      </w:pPr>
      <w:r w:rsidRPr="00B73D47">
        <w:rPr>
          <w:rFonts w:ascii="Times New Roman" w:hAnsi="Times New Roman" w:cs="Times New Roman"/>
          <w:sz w:val="24"/>
          <w:szCs w:val="24"/>
        </w:rPr>
        <w:t>D</w:t>
      </w:r>
      <w:r w:rsidR="00506B68" w:rsidRPr="00B73D47">
        <w:rPr>
          <w:rFonts w:ascii="Times New Roman" w:hAnsi="Times New Roman" w:cs="Times New Roman"/>
          <w:sz w:val="24"/>
          <w:szCs w:val="24"/>
        </w:rPr>
        <w:t xml:space="preserve">igital replica right applies for </w:t>
      </w:r>
      <w:r w:rsidRPr="00B73D47">
        <w:rPr>
          <w:rFonts w:ascii="Times New Roman" w:hAnsi="Times New Roman" w:cs="Times New Roman"/>
          <w:sz w:val="24"/>
          <w:szCs w:val="24"/>
        </w:rPr>
        <w:t>40</w:t>
      </w:r>
      <w:r w:rsidR="00506B68" w:rsidRPr="00B73D47">
        <w:rPr>
          <w:rFonts w:ascii="Times New Roman" w:hAnsi="Times New Roman" w:cs="Times New Roman"/>
          <w:sz w:val="24"/>
          <w:szCs w:val="24"/>
        </w:rPr>
        <w:t xml:space="preserve"> years after the performer’s death; the registration requirement applies as well</w:t>
      </w:r>
      <w:r w:rsidR="00915AE1">
        <w:rPr>
          <w:rFonts w:ascii="Times New Roman" w:hAnsi="Times New Roman" w:cs="Times New Roman"/>
          <w:sz w:val="24"/>
          <w:szCs w:val="24"/>
        </w:rPr>
        <w:t xml:space="preserve">. </w:t>
      </w:r>
      <w:r w:rsidR="00506B68" w:rsidRPr="00B73D47">
        <w:rPr>
          <w:rFonts w:ascii="Times New Roman" w:hAnsi="Times New Roman" w:cs="Times New Roman"/>
          <w:i/>
          <w:sz w:val="24"/>
          <w:szCs w:val="24"/>
        </w:rPr>
        <w:t>Id</w:t>
      </w:r>
      <w:r w:rsidR="00506B68" w:rsidRPr="00B73D47">
        <w:rPr>
          <w:rFonts w:ascii="Times New Roman" w:hAnsi="Times New Roman" w:cs="Times New Roman"/>
          <w:sz w:val="24"/>
          <w:szCs w:val="24"/>
        </w:rPr>
        <w:t>. §§</w:t>
      </w:r>
      <w:r w:rsidR="008643CA">
        <w:rPr>
          <w:rFonts w:ascii="Times New Roman" w:hAnsi="Times New Roman" w:cs="Times New Roman"/>
          <w:sz w:val="24"/>
          <w:szCs w:val="24"/>
        </w:rPr>
        <w:t xml:space="preserve"> </w:t>
      </w:r>
      <w:r w:rsidR="00506B68" w:rsidRPr="00B73D47">
        <w:rPr>
          <w:rFonts w:ascii="Times New Roman" w:hAnsi="Times New Roman" w:cs="Times New Roman"/>
          <w:sz w:val="24"/>
          <w:szCs w:val="24"/>
        </w:rPr>
        <w:t xml:space="preserve">50-f(7)-(8). </w:t>
      </w:r>
    </w:p>
    <w:p w:rsidR="00AD378F" w:rsidRPr="00B73D47" w:rsidRDefault="00AD378F" w:rsidP="00FD322C">
      <w:pPr>
        <w:widowControl w:val="0"/>
        <w:numPr>
          <w:ilvl w:val="3"/>
          <w:numId w:val="14"/>
        </w:numPr>
        <w:spacing w:after="240" w:line="240" w:lineRule="auto"/>
        <w:rPr>
          <w:rFonts w:ascii="Times New Roman" w:hAnsi="Times New Roman" w:cs="Times New Roman"/>
          <w:sz w:val="24"/>
          <w:szCs w:val="24"/>
        </w:rPr>
      </w:pPr>
      <w:r w:rsidRPr="00B73D47">
        <w:rPr>
          <w:rFonts w:ascii="Times New Roman" w:hAnsi="Times New Roman" w:cs="Times New Roman"/>
          <w:b/>
          <w:i/>
          <w:sz w:val="24"/>
          <w:szCs w:val="24"/>
        </w:rPr>
        <w:t>Exclusions</w:t>
      </w:r>
      <w:r w:rsidR="00915AE1">
        <w:rPr>
          <w:rFonts w:ascii="Times New Roman" w:hAnsi="Times New Roman" w:cs="Times New Roman"/>
          <w:b/>
          <w:i/>
          <w:sz w:val="24"/>
          <w:szCs w:val="24"/>
        </w:rPr>
        <w:t xml:space="preserve">. </w:t>
      </w:r>
      <w:r w:rsidR="00A65E44" w:rsidRPr="00B73D47">
        <w:rPr>
          <w:rFonts w:ascii="Times New Roman" w:hAnsi="Times New Roman" w:cs="Times New Roman"/>
          <w:sz w:val="24"/>
          <w:szCs w:val="24"/>
        </w:rPr>
        <w:t>D</w:t>
      </w:r>
      <w:r w:rsidR="00506B68" w:rsidRPr="00B73D47">
        <w:rPr>
          <w:rFonts w:ascii="Times New Roman" w:hAnsi="Times New Roman" w:cs="Times New Roman"/>
          <w:sz w:val="24"/>
          <w:szCs w:val="24"/>
        </w:rPr>
        <w:t>igital-replica provision contains statutory exemptions, but they are narrower than the exemptions to the right of publicity. Excluded from this scope of this right are uses</w:t>
      </w:r>
      <w:r w:rsidRPr="00B73D47">
        <w:rPr>
          <w:rFonts w:ascii="Times New Roman" w:hAnsi="Times New Roman" w:cs="Times New Roman"/>
          <w:sz w:val="24"/>
          <w:szCs w:val="24"/>
        </w:rPr>
        <w:t xml:space="preserve">: </w:t>
      </w:r>
    </w:p>
    <w:p w:rsidR="00AD378F" w:rsidRPr="00B73D47" w:rsidRDefault="00506B68" w:rsidP="00FD322C">
      <w:pPr>
        <w:widowControl w:val="0"/>
        <w:numPr>
          <w:ilvl w:val="4"/>
          <w:numId w:val="14"/>
        </w:numPr>
        <w:spacing w:after="240" w:line="240" w:lineRule="auto"/>
        <w:rPr>
          <w:rFonts w:ascii="Times New Roman" w:hAnsi="Times New Roman" w:cs="Times New Roman"/>
          <w:sz w:val="24"/>
          <w:szCs w:val="24"/>
        </w:rPr>
      </w:pPr>
      <w:r w:rsidRPr="00B73D47">
        <w:rPr>
          <w:rFonts w:ascii="Times New Roman" w:hAnsi="Times New Roman" w:cs="Times New Roman"/>
          <w:sz w:val="24"/>
          <w:szCs w:val="24"/>
        </w:rPr>
        <w:t xml:space="preserve">if the work is of parody, satire, commentary, or criticism; works of political or newsworthy value, or similar works, such as documentaries, docudramas, or historical or biographical works, regardless of the degree of fictionalization; a representation of a deceased performer as himself or herself, regardless of the degree of fictionalization, except in a live performance of a musical work; </w:t>
      </w:r>
      <w:r w:rsidRPr="00B73D47">
        <w:rPr>
          <w:rFonts w:ascii="Times New Roman" w:hAnsi="Times New Roman" w:cs="Times New Roman"/>
          <w:i/>
          <w:sz w:val="24"/>
          <w:szCs w:val="24"/>
        </w:rPr>
        <w:t>de minimis</w:t>
      </w:r>
      <w:r w:rsidRPr="00B73D47">
        <w:rPr>
          <w:rFonts w:ascii="Times New Roman" w:hAnsi="Times New Roman" w:cs="Times New Roman"/>
          <w:sz w:val="24"/>
          <w:szCs w:val="24"/>
        </w:rPr>
        <w:t xml:space="preserve"> or incidental; or an advertisement or commercial announcement for any of the foregoing works</w:t>
      </w:r>
      <w:r w:rsidR="00915AE1">
        <w:rPr>
          <w:rFonts w:ascii="Times New Roman" w:hAnsi="Times New Roman" w:cs="Times New Roman"/>
          <w:sz w:val="24"/>
          <w:szCs w:val="24"/>
        </w:rPr>
        <w:t xml:space="preserve">. </w:t>
      </w:r>
      <w:r w:rsidRPr="00B73D47">
        <w:rPr>
          <w:rFonts w:ascii="Times New Roman" w:hAnsi="Times New Roman" w:cs="Times New Roman"/>
          <w:i/>
          <w:sz w:val="24"/>
          <w:szCs w:val="24"/>
        </w:rPr>
        <w:t>Id</w:t>
      </w:r>
      <w:r w:rsidR="00406851" w:rsidRPr="00B73D47">
        <w:rPr>
          <w:rFonts w:ascii="Times New Roman" w:hAnsi="Times New Roman" w:cs="Times New Roman"/>
          <w:sz w:val="24"/>
          <w:szCs w:val="24"/>
        </w:rPr>
        <w:t>. §50-f(2)(d)(ii).</w:t>
      </w:r>
    </w:p>
    <w:p w:rsidR="00AD378F" w:rsidRPr="00B73D47" w:rsidRDefault="00506B68" w:rsidP="00FD322C">
      <w:pPr>
        <w:widowControl w:val="0"/>
        <w:numPr>
          <w:ilvl w:val="4"/>
          <w:numId w:val="14"/>
        </w:numPr>
        <w:spacing w:after="240" w:line="240" w:lineRule="auto"/>
        <w:rPr>
          <w:rFonts w:ascii="Times New Roman" w:hAnsi="Times New Roman" w:cs="Times New Roman"/>
          <w:sz w:val="24"/>
          <w:szCs w:val="24"/>
        </w:rPr>
      </w:pPr>
      <w:r w:rsidRPr="00B73D47">
        <w:rPr>
          <w:rFonts w:ascii="Times New Roman" w:hAnsi="Times New Roman" w:cs="Times New Roman"/>
          <w:sz w:val="24"/>
          <w:szCs w:val="24"/>
        </w:rPr>
        <w:t xml:space="preserve">Also excluded are uses “in connection with any news, public affairs, or sports program or account, regardless of format, medium or means of transmission, or any political campaign.” </w:t>
      </w:r>
      <w:r w:rsidRPr="00B73D47">
        <w:rPr>
          <w:rFonts w:ascii="Times New Roman" w:hAnsi="Times New Roman" w:cs="Times New Roman"/>
          <w:i/>
          <w:sz w:val="24"/>
          <w:szCs w:val="24"/>
        </w:rPr>
        <w:t>Id</w:t>
      </w:r>
      <w:r w:rsidR="00A65E44" w:rsidRPr="00B73D47">
        <w:rPr>
          <w:rFonts w:ascii="Times New Roman" w:hAnsi="Times New Roman" w:cs="Times New Roman"/>
          <w:sz w:val="24"/>
          <w:szCs w:val="24"/>
        </w:rPr>
        <w:t>. §50-f(2)(d)(iii).</w:t>
      </w:r>
    </w:p>
    <w:p w:rsidR="00AD378F" w:rsidRPr="00B73D47" w:rsidRDefault="00AD378F" w:rsidP="00FD322C">
      <w:pPr>
        <w:widowControl w:val="0"/>
        <w:numPr>
          <w:ilvl w:val="4"/>
          <w:numId w:val="14"/>
        </w:numPr>
        <w:spacing w:after="240" w:line="240" w:lineRule="auto"/>
        <w:rPr>
          <w:rFonts w:ascii="Times New Roman" w:hAnsi="Times New Roman" w:cs="Times New Roman"/>
          <w:sz w:val="24"/>
          <w:szCs w:val="24"/>
        </w:rPr>
      </w:pPr>
      <w:r w:rsidRPr="00B73D47">
        <w:rPr>
          <w:rFonts w:ascii="Times New Roman" w:hAnsi="Times New Roman" w:cs="Times New Roman"/>
          <w:sz w:val="24"/>
          <w:szCs w:val="24"/>
        </w:rPr>
        <w:t>The e</w:t>
      </w:r>
      <w:r w:rsidR="00506B68" w:rsidRPr="00B73D47">
        <w:rPr>
          <w:rFonts w:ascii="Times New Roman" w:hAnsi="Times New Roman" w:cs="Times New Roman"/>
          <w:sz w:val="24"/>
          <w:szCs w:val="24"/>
        </w:rPr>
        <w:t xml:space="preserve">xclusion in Section 50-f(2)(d)(i) for uses in a “play, book, magazine, newspaper…audiovisual work,” etc. </w:t>
      </w:r>
      <w:r w:rsidRPr="00B73D47">
        <w:rPr>
          <w:rFonts w:ascii="Times New Roman" w:hAnsi="Times New Roman" w:cs="Times New Roman"/>
          <w:sz w:val="24"/>
          <w:szCs w:val="24"/>
        </w:rPr>
        <w:t>do</w:t>
      </w:r>
      <w:r w:rsidR="00506B68" w:rsidRPr="00B73D47">
        <w:rPr>
          <w:rFonts w:ascii="Times New Roman" w:hAnsi="Times New Roman" w:cs="Times New Roman"/>
          <w:sz w:val="24"/>
          <w:szCs w:val="24"/>
        </w:rPr>
        <w:t xml:space="preserve"> </w:t>
      </w:r>
      <w:r w:rsidR="00506B68" w:rsidRPr="00B73D47">
        <w:rPr>
          <w:rFonts w:ascii="Times New Roman" w:hAnsi="Times New Roman" w:cs="Times New Roman"/>
          <w:b/>
          <w:i/>
          <w:sz w:val="24"/>
          <w:szCs w:val="24"/>
        </w:rPr>
        <w:t>not</w:t>
      </w:r>
      <w:r w:rsidR="00506B68" w:rsidRPr="00B73D47">
        <w:rPr>
          <w:rFonts w:ascii="Times New Roman" w:hAnsi="Times New Roman" w:cs="Times New Roman"/>
          <w:sz w:val="24"/>
          <w:szCs w:val="24"/>
        </w:rPr>
        <w:t xml:space="preserve"> apply to</w:t>
      </w:r>
      <w:r w:rsidRPr="00B73D47">
        <w:rPr>
          <w:rFonts w:ascii="Times New Roman" w:hAnsi="Times New Roman" w:cs="Times New Roman"/>
          <w:sz w:val="24"/>
          <w:szCs w:val="24"/>
        </w:rPr>
        <w:t xml:space="preserve"> the digital replica provision, because </w:t>
      </w:r>
      <w:r w:rsidR="00506B68" w:rsidRPr="00B73D47">
        <w:rPr>
          <w:rFonts w:ascii="Times New Roman" w:hAnsi="Times New Roman" w:cs="Times New Roman"/>
          <w:sz w:val="24"/>
          <w:szCs w:val="24"/>
        </w:rPr>
        <w:t xml:space="preserve">this right only applies (if at all) in a “scripted audiovisual work,” there was no reason to explicitly </w:t>
      </w:r>
      <w:r w:rsidR="00506B68" w:rsidRPr="00B73D47">
        <w:rPr>
          <w:rFonts w:ascii="Times New Roman" w:hAnsi="Times New Roman" w:cs="Times New Roman"/>
          <w:b/>
          <w:i/>
          <w:sz w:val="24"/>
          <w:szCs w:val="24"/>
        </w:rPr>
        <w:t>exclude</w:t>
      </w:r>
      <w:r w:rsidR="00506B68" w:rsidRPr="00B73D47">
        <w:rPr>
          <w:rFonts w:ascii="Times New Roman" w:hAnsi="Times New Roman" w:cs="Times New Roman"/>
          <w:sz w:val="24"/>
          <w:szCs w:val="24"/>
        </w:rPr>
        <w:t xml:space="preserve"> uses in other types of works.</w:t>
      </w:r>
    </w:p>
    <w:p w:rsidR="00AD378F" w:rsidRPr="00B73D47" w:rsidRDefault="00506B68" w:rsidP="00FD322C">
      <w:pPr>
        <w:widowControl w:val="0"/>
        <w:numPr>
          <w:ilvl w:val="2"/>
          <w:numId w:val="14"/>
        </w:numPr>
        <w:spacing w:after="240" w:line="240" w:lineRule="auto"/>
        <w:ind w:hanging="360"/>
        <w:rPr>
          <w:rFonts w:ascii="Times New Roman" w:hAnsi="Times New Roman" w:cs="Times New Roman"/>
          <w:sz w:val="24"/>
          <w:szCs w:val="24"/>
        </w:rPr>
      </w:pPr>
      <w:r w:rsidRPr="00B73D47">
        <w:rPr>
          <w:rFonts w:ascii="Times New Roman" w:hAnsi="Times New Roman" w:cs="Times New Roman"/>
          <w:b/>
          <w:sz w:val="24"/>
          <w:szCs w:val="24"/>
        </w:rPr>
        <w:t>Sexually Explicit Deep</w:t>
      </w:r>
      <w:r w:rsidR="00AD378F" w:rsidRPr="00B73D47">
        <w:rPr>
          <w:rFonts w:ascii="Times New Roman" w:hAnsi="Times New Roman" w:cs="Times New Roman"/>
          <w:b/>
          <w:sz w:val="24"/>
          <w:szCs w:val="24"/>
        </w:rPr>
        <w:t>f</w:t>
      </w:r>
      <w:r w:rsidRPr="00B73D47">
        <w:rPr>
          <w:rFonts w:ascii="Times New Roman" w:hAnsi="Times New Roman" w:cs="Times New Roman"/>
          <w:b/>
          <w:sz w:val="24"/>
          <w:szCs w:val="24"/>
        </w:rPr>
        <w:t>akes</w:t>
      </w:r>
    </w:p>
    <w:p w:rsidR="00AD378F" w:rsidRPr="00B73D47" w:rsidRDefault="00AD378F" w:rsidP="00FD322C">
      <w:pPr>
        <w:widowControl w:val="0"/>
        <w:numPr>
          <w:ilvl w:val="3"/>
          <w:numId w:val="14"/>
        </w:numPr>
        <w:spacing w:after="240" w:line="240" w:lineRule="auto"/>
        <w:rPr>
          <w:rFonts w:ascii="Times New Roman" w:hAnsi="Times New Roman" w:cs="Times New Roman"/>
          <w:sz w:val="24"/>
          <w:szCs w:val="24"/>
        </w:rPr>
      </w:pPr>
      <w:r w:rsidRPr="00B73D47">
        <w:rPr>
          <w:rFonts w:ascii="Times New Roman" w:hAnsi="Times New Roman" w:cs="Times New Roman"/>
          <w:sz w:val="24"/>
          <w:szCs w:val="24"/>
        </w:rPr>
        <w:t>The b</w:t>
      </w:r>
      <w:r w:rsidR="00506B68" w:rsidRPr="00B73D47">
        <w:rPr>
          <w:rFonts w:ascii="Times New Roman" w:hAnsi="Times New Roman" w:cs="Times New Roman"/>
          <w:sz w:val="24"/>
          <w:szCs w:val="24"/>
        </w:rPr>
        <w:t>ill</w:t>
      </w:r>
      <w:r w:rsidRPr="00B73D47">
        <w:rPr>
          <w:rFonts w:ascii="Times New Roman" w:hAnsi="Times New Roman" w:cs="Times New Roman"/>
          <w:sz w:val="24"/>
          <w:szCs w:val="24"/>
        </w:rPr>
        <w:t xml:space="preserve"> also</w:t>
      </w:r>
      <w:r w:rsidR="00506B68" w:rsidRPr="00B73D47">
        <w:rPr>
          <w:rFonts w:ascii="Times New Roman" w:hAnsi="Times New Roman" w:cs="Times New Roman"/>
          <w:sz w:val="24"/>
          <w:szCs w:val="24"/>
        </w:rPr>
        <w:t xml:space="preserve"> creates</w:t>
      </w:r>
      <w:r w:rsidRPr="00B73D47">
        <w:rPr>
          <w:rFonts w:ascii="Times New Roman" w:hAnsi="Times New Roman" w:cs="Times New Roman"/>
          <w:sz w:val="24"/>
          <w:szCs w:val="24"/>
        </w:rPr>
        <w:t xml:space="preserve"> a</w:t>
      </w:r>
      <w:r w:rsidR="00506B68" w:rsidRPr="00B73D47">
        <w:rPr>
          <w:rFonts w:ascii="Times New Roman" w:hAnsi="Times New Roman" w:cs="Times New Roman"/>
          <w:sz w:val="24"/>
          <w:szCs w:val="24"/>
        </w:rPr>
        <w:t xml:space="preserve"> right against unauthorized sexually explicit deepfakes, which closely resembles the new deepfakes law enacted in California in 2019</w:t>
      </w:r>
      <w:r w:rsidR="00915AE1">
        <w:rPr>
          <w:rFonts w:ascii="Times New Roman" w:hAnsi="Times New Roman" w:cs="Times New Roman"/>
          <w:sz w:val="24"/>
          <w:szCs w:val="24"/>
        </w:rPr>
        <w:t xml:space="preserve">. </w:t>
      </w:r>
      <w:r w:rsidRPr="00B73D47">
        <w:rPr>
          <w:rFonts w:ascii="Times New Roman" w:hAnsi="Times New Roman" w:cs="Times New Roman"/>
          <w:sz w:val="24"/>
          <w:szCs w:val="24"/>
        </w:rPr>
        <w:t>N.Y. Civ</w:t>
      </w:r>
      <w:r w:rsidR="008643CA">
        <w:rPr>
          <w:rFonts w:ascii="Times New Roman" w:hAnsi="Times New Roman" w:cs="Times New Roman"/>
          <w:sz w:val="24"/>
          <w:szCs w:val="24"/>
        </w:rPr>
        <w:t>.</w:t>
      </w:r>
      <w:r w:rsidRPr="00B73D47">
        <w:rPr>
          <w:rFonts w:ascii="Times New Roman" w:hAnsi="Times New Roman" w:cs="Times New Roman"/>
          <w:sz w:val="24"/>
          <w:szCs w:val="24"/>
        </w:rPr>
        <w:t xml:space="preserve"> Rights Law § </w:t>
      </w:r>
      <w:r w:rsidR="00C42DB7" w:rsidRPr="00B73D47">
        <w:rPr>
          <w:rFonts w:ascii="Times New Roman" w:hAnsi="Times New Roman" w:cs="Times New Roman"/>
          <w:sz w:val="24"/>
          <w:szCs w:val="24"/>
        </w:rPr>
        <w:t>52-c</w:t>
      </w:r>
      <w:r w:rsidRPr="00B73D47">
        <w:rPr>
          <w:rFonts w:ascii="Times New Roman" w:hAnsi="Times New Roman" w:cs="Times New Roman"/>
          <w:sz w:val="24"/>
          <w:szCs w:val="24"/>
        </w:rPr>
        <w:t xml:space="preserve">; </w:t>
      </w:r>
      <w:r w:rsidR="00C42DB7" w:rsidRPr="00B73D47">
        <w:rPr>
          <w:rFonts w:ascii="Times New Roman" w:hAnsi="Times New Roman" w:cs="Times New Roman"/>
          <w:i/>
          <w:sz w:val="24"/>
          <w:szCs w:val="24"/>
        </w:rPr>
        <w:t>see also</w:t>
      </w:r>
      <w:r w:rsidRPr="00B73D47">
        <w:rPr>
          <w:rFonts w:ascii="Times New Roman" w:hAnsi="Times New Roman" w:cs="Times New Roman"/>
          <w:sz w:val="24"/>
          <w:szCs w:val="24"/>
        </w:rPr>
        <w:t xml:space="preserve"> Cal. Civ. Code § 1708.86. </w:t>
      </w:r>
    </w:p>
    <w:p w:rsidR="00AD378F" w:rsidRPr="00B73D47" w:rsidRDefault="00AD378F" w:rsidP="00FD322C">
      <w:pPr>
        <w:widowControl w:val="0"/>
        <w:numPr>
          <w:ilvl w:val="3"/>
          <w:numId w:val="14"/>
        </w:numPr>
        <w:spacing w:after="240" w:line="240" w:lineRule="auto"/>
        <w:rPr>
          <w:rFonts w:ascii="Times New Roman" w:hAnsi="Times New Roman" w:cs="Times New Roman"/>
          <w:sz w:val="24"/>
          <w:szCs w:val="24"/>
        </w:rPr>
      </w:pPr>
      <w:r w:rsidRPr="00B73D47">
        <w:rPr>
          <w:rFonts w:ascii="Times New Roman" w:hAnsi="Times New Roman" w:cs="Times New Roman"/>
          <w:b/>
          <w:i/>
          <w:sz w:val="24"/>
          <w:szCs w:val="24"/>
        </w:rPr>
        <w:t xml:space="preserve">Cause of Action. </w:t>
      </w:r>
      <w:r w:rsidRPr="00B73D47">
        <w:rPr>
          <w:rFonts w:ascii="Times New Roman" w:hAnsi="Times New Roman" w:cs="Times New Roman"/>
          <w:sz w:val="24"/>
          <w:szCs w:val="24"/>
        </w:rPr>
        <w:t>It e</w:t>
      </w:r>
      <w:r w:rsidR="00C42DB7" w:rsidRPr="00B73D47">
        <w:rPr>
          <w:rFonts w:ascii="Times New Roman" w:hAnsi="Times New Roman" w:cs="Times New Roman"/>
          <w:sz w:val="24"/>
          <w:szCs w:val="24"/>
        </w:rPr>
        <w:t xml:space="preserve">stablishes </w:t>
      </w:r>
      <w:r w:rsidR="00506B68" w:rsidRPr="00B73D47">
        <w:rPr>
          <w:rFonts w:ascii="Times New Roman" w:hAnsi="Times New Roman" w:cs="Times New Roman"/>
          <w:sz w:val="24"/>
          <w:szCs w:val="24"/>
        </w:rPr>
        <w:t>cause of action against one who “discloses, disseminates or publishes sexually explicit material</w:t>
      </w:r>
      <w:r w:rsidRPr="00B73D47">
        <w:rPr>
          <w:rFonts w:ascii="Times New Roman" w:hAnsi="Times New Roman" w:cs="Times New Roman"/>
          <w:sz w:val="24"/>
          <w:szCs w:val="24"/>
        </w:rPr>
        <w:t xml:space="preserve"> [</w:t>
      </w:r>
      <w:r w:rsidR="00506B68" w:rsidRPr="00B73D47">
        <w:rPr>
          <w:rFonts w:ascii="Times New Roman" w:hAnsi="Times New Roman" w:cs="Times New Roman"/>
          <w:sz w:val="24"/>
          <w:szCs w:val="24"/>
        </w:rPr>
        <w:t xml:space="preserve">defined in Section 52-c(1)(e)] related to the depicted individual, and the person knows or reasonably should have known the depicted individual in that material did not consent to its creation, disclosure, </w:t>
      </w:r>
      <w:r w:rsidR="00C42DB7" w:rsidRPr="00B73D47">
        <w:rPr>
          <w:rFonts w:ascii="Times New Roman" w:hAnsi="Times New Roman" w:cs="Times New Roman"/>
          <w:sz w:val="24"/>
          <w:szCs w:val="24"/>
        </w:rPr>
        <w:t>dissemination, or publication.”</w:t>
      </w:r>
      <w:r w:rsidR="008643CA">
        <w:rPr>
          <w:rFonts w:ascii="Times New Roman" w:hAnsi="Times New Roman" w:cs="Times New Roman"/>
          <w:sz w:val="24"/>
          <w:szCs w:val="24"/>
        </w:rPr>
        <w:t xml:space="preserve"> N.Y. Civ. Rights Law § 52-c(2)(a).</w:t>
      </w:r>
    </w:p>
    <w:p w:rsidR="00AD378F" w:rsidRPr="00B73D47" w:rsidRDefault="00AD378F" w:rsidP="00FD322C">
      <w:pPr>
        <w:widowControl w:val="0"/>
        <w:numPr>
          <w:ilvl w:val="3"/>
          <w:numId w:val="14"/>
        </w:numPr>
        <w:spacing w:after="240" w:line="240" w:lineRule="auto"/>
        <w:rPr>
          <w:rFonts w:ascii="Times New Roman" w:hAnsi="Times New Roman" w:cs="Times New Roman"/>
          <w:sz w:val="24"/>
          <w:szCs w:val="24"/>
        </w:rPr>
      </w:pPr>
      <w:r w:rsidRPr="00B73D47">
        <w:rPr>
          <w:rFonts w:ascii="Times New Roman" w:hAnsi="Times New Roman" w:cs="Times New Roman"/>
          <w:b/>
          <w:i/>
          <w:sz w:val="24"/>
          <w:szCs w:val="24"/>
        </w:rPr>
        <w:t>Consent</w:t>
      </w:r>
      <w:r w:rsidR="00915AE1">
        <w:rPr>
          <w:rFonts w:ascii="Times New Roman" w:hAnsi="Times New Roman" w:cs="Times New Roman"/>
          <w:b/>
          <w:i/>
          <w:sz w:val="24"/>
          <w:szCs w:val="24"/>
        </w:rPr>
        <w:t xml:space="preserve">. </w:t>
      </w:r>
      <w:r w:rsidR="00506B68" w:rsidRPr="00B73D47">
        <w:rPr>
          <w:rFonts w:ascii="Times New Roman" w:hAnsi="Times New Roman" w:cs="Times New Roman"/>
          <w:sz w:val="24"/>
          <w:szCs w:val="24"/>
        </w:rPr>
        <w:t xml:space="preserve">Consent to appear in such a </w:t>
      </w:r>
      <w:r w:rsidRPr="00B73D47">
        <w:rPr>
          <w:rFonts w:ascii="Times New Roman" w:hAnsi="Times New Roman" w:cs="Times New Roman"/>
          <w:sz w:val="24"/>
          <w:szCs w:val="24"/>
        </w:rPr>
        <w:t>“</w:t>
      </w:r>
      <w:r w:rsidR="00506B68" w:rsidRPr="00B73D47">
        <w:rPr>
          <w:rFonts w:ascii="Times New Roman" w:hAnsi="Times New Roman" w:cs="Times New Roman"/>
          <w:sz w:val="24"/>
          <w:szCs w:val="24"/>
        </w:rPr>
        <w:t>deepfake</w:t>
      </w:r>
      <w:r w:rsidRPr="00B73D47">
        <w:rPr>
          <w:rFonts w:ascii="Times New Roman" w:hAnsi="Times New Roman" w:cs="Times New Roman"/>
          <w:sz w:val="24"/>
          <w:szCs w:val="24"/>
        </w:rPr>
        <w:t>”</w:t>
      </w:r>
      <w:r w:rsidR="00506B68" w:rsidRPr="00B73D47">
        <w:rPr>
          <w:rFonts w:ascii="Times New Roman" w:hAnsi="Times New Roman" w:cs="Times New Roman"/>
          <w:sz w:val="24"/>
          <w:szCs w:val="24"/>
        </w:rPr>
        <w:t xml:space="preserve"> must be granted “knowingly and voluntarily” and pursuant to “an agreement written in plain language that includes a general description of the sexually explicit material and the audiovisual work in which it will be incorporated</w:t>
      </w:r>
      <w:r w:rsidRPr="00B73D47">
        <w:rPr>
          <w:rFonts w:ascii="Times New Roman" w:hAnsi="Times New Roman" w:cs="Times New Roman"/>
          <w:sz w:val="24"/>
          <w:szCs w:val="24"/>
        </w:rPr>
        <w:t>.</w:t>
      </w:r>
      <w:r w:rsidR="00506B68" w:rsidRPr="00B73D47">
        <w:rPr>
          <w:rFonts w:ascii="Times New Roman" w:hAnsi="Times New Roman" w:cs="Times New Roman"/>
          <w:sz w:val="24"/>
          <w:szCs w:val="24"/>
        </w:rPr>
        <w:t xml:space="preserve">” </w:t>
      </w:r>
      <w:r w:rsidRPr="00B73D47">
        <w:rPr>
          <w:rFonts w:ascii="Times New Roman" w:hAnsi="Times New Roman" w:cs="Times New Roman"/>
          <w:sz w:val="24"/>
          <w:szCs w:val="24"/>
        </w:rPr>
        <w:t xml:space="preserve"> </w:t>
      </w:r>
      <w:r w:rsidR="00506B68" w:rsidRPr="00B73D47">
        <w:rPr>
          <w:rFonts w:ascii="Times New Roman" w:hAnsi="Times New Roman" w:cs="Times New Roman"/>
          <w:i/>
          <w:sz w:val="24"/>
          <w:szCs w:val="24"/>
        </w:rPr>
        <w:t>Id</w:t>
      </w:r>
      <w:r w:rsidR="00406851" w:rsidRPr="00B73D47">
        <w:rPr>
          <w:rFonts w:ascii="Times New Roman" w:hAnsi="Times New Roman" w:cs="Times New Roman"/>
          <w:sz w:val="24"/>
          <w:szCs w:val="24"/>
        </w:rPr>
        <w:t>. §52-c(3)(a)</w:t>
      </w:r>
      <w:r w:rsidR="00915AE1">
        <w:rPr>
          <w:rFonts w:ascii="Times New Roman" w:hAnsi="Times New Roman" w:cs="Times New Roman"/>
          <w:sz w:val="24"/>
          <w:szCs w:val="24"/>
        </w:rPr>
        <w:t xml:space="preserve">. </w:t>
      </w:r>
      <w:r w:rsidR="00506B68" w:rsidRPr="00B73D47">
        <w:rPr>
          <w:rFonts w:ascii="Times New Roman" w:hAnsi="Times New Roman" w:cs="Times New Roman"/>
          <w:sz w:val="24"/>
          <w:szCs w:val="24"/>
        </w:rPr>
        <w:t xml:space="preserve">And such an agreement may be rescinded pursuant to the process set forth in </w:t>
      </w:r>
      <w:r w:rsidRPr="00B73D47">
        <w:rPr>
          <w:rFonts w:ascii="Times New Roman" w:hAnsi="Times New Roman" w:cs="Times New Roman"/>
          <w:sz w:val="24"/>
          <w:szCs w:val="24"/>
        </w:rPr>
        <w:t xml:space="preserve">the statute. </w:t>
      </w:r>
    </w:p>
    <w:p w:rsidR="009C0C85" w:rsidRPr="00B73D47" w:rsidRDefault="00AD378F" w:rsidP="00FD322C">
      <w:pPr>
        <w:widowControl w:val="0"/>
        <w:numPr>
          <w:ilvl w:val="3"/>
          <w:numId w:val="14"/>
        </w:numPr>
        <w:spacing w:after="240" w:line="240" w:lineRule="auto"/>
        <w:rPr>
          <w:rFonts w:ascii="Times New Roman" w:hAnsi="Times New Roman" w:cs="Times New Roman"/>
          <w:sz w:val="24"/>
          <w:szCs w:val="24"/>
        </w:rPr>
      </w:pPr>
      <w:r w:rsidRPr="00B73D47">
        <w:rPr>
          <w:rFonts w:ascii="Times New Roman" w:hAnsi="Times New Roman" w:cs="Times New Roman"/>
          <w:b/>
          <w:i/>
          <w:sz w:val="24"/>
          <w:szCs w:val="24"/>
        </w:rPr>
        <w:t>Exemptions</w:t>
      </w:r>
      <w:r w:rsidR="00915AE1">
        <w:rPr>
          <w:rFonts w:ascii="Times New Roman" w:hAnsi="Times New Roman" w:cs="Times New Roman"/>
          <w:b/>
          <w:i/>
          <w:sz w:val="24"/>
          <w:szCs w:val="24"/>
        </w:rPr>
        <w:t xml:space="preserve">. </w:t>
      </w:r>
      <w:r w:rsidRPr="00B73D47">
        <w:rPr>
          <w:rFonts w:ascii="Times New Roman" w:hAnsi="Times New Roman" w:cs="Times New Roman"/>
          <w:sz w:val="24"/>
          <w:szCs w:val="24"/>
        </w:rPr>
        <w:t>The d</w:t>
      </w:r>
      <w:r w:rsidR="00506B68" w:rsidRPr="00B73D47">
        <w:rPr>
          <w:rFonts w:ascii="Times New Roman" w:hAnsi="Times New Roman" w:cs="Times New Roman"/>
          <w:sz w:val="24"/>
          <w:szCs w:val="24"/>
        </w:rPr>
        <w:t xml:space="preserve">eepfakes provision has its own set of statutory exemptions, excluding from its scope disclosure or publication of such videos “in the course of reporting unlawful </w:t>
      </w:r>
      <w:r w:rsidR="009C0C85" w:rsidRPr="00B73D47">
        <w:rPr>
          <w:rFonts w:ascii="Times New Roman" w:hAnsi="Times New Roman" w:cs="Times New Roman"/>
          <w:sz w:val="24"/>
          <w:szCs w:val="24"/>
        </w:rPr>
        <w:t>activity, exercising the person’</w:t>
      </w:r>
      <w:r w:rsidR="00506B68" w:rsidRPr="00B73D47">
        <w:rPr>
          <w:rFonts w:ascii="Times New Roman" w:hAnsi="Times New Roman" w:cs="Times New Roman"/>
          <w:sz w:val="24"/>
          <w:szCs w:val="24"/>
        </w:rPr>
        <w:t>s law 52-c(3)</w:t>
      </w:r>
      <w:r w:rsidR="009C0C85" w:rsidRPr="00B73D47">
        <w:rPr>
          <w:rFonts w:ascii="Times New Roman" w:hAnsi="Times New Roman" w:cs="Times New Roman"/>
          <w:sz w:val="24"/>
          <w:szCs w:val="24"/>
        </w:rPr>
        <w:t xml:space="preserve"> e</w:t>
      </w:r>
      <w:r w:rsidR="00506B68" w:rsidRPr="00B73D47">
        <w:rPr>
          <w:rFonts w:ascii="Times New Roman" w:hAnsi="Times New Roman" w:cs="Times New Roman"/>
          <w:sz w:val="24"/>
          <w:szCs w:val="24"/>
        </w:rPr>
        <w:t xml:space="preserve">nforcement duties, or hearings, trials or other legal proceedings” and where the “sexually explicit material is a matter of legitimate public concern, a work of political or newsworthy value or similar work, or commentary, criticism or disclosure that is otherwise protected by the constitution of this state or the United States; provided that sexually explicit material shall not be considered of newsworthy value solely because the depicted individual is a public figure.” </w:t>
      </w:r>
      <w:r w:rsidR="009C0C85" w:rsidRPr="00B73D47">
        <w:rPr>
          <w:rFonts w:ascii="Times New Roman" w:hAnsi="Times New Roman" w:cs="Times New Roman"/>
          <w:sz w:val="24"/>
          <w:szCs w:val="24"/>
        </w:rPr>
        <w:t xml:space="preserve"> </w:t>
      </w:r>
      <w:r w:rsidR="00506B68" w:rsidRPr="00B73D47">
        <w:rPr>
          <w:rFonts w:ascii="Times New Roman" w:hAnsi="Times New Roman" w:cs="Times New Roman"/>
          <w:i/>
          <w:sz w:val="24"/>
          <w:szCs w:val="24"/>
        </w:rPr>
        <w:t>Id</w:t>
      </w:r>
      <w:r w:rsidR="00506B68" w:rsidRPr="00B73D47">
        <w:rPr>
          <w:rFonts w:ascii="Times New Roman" w:hAnsi="Times New Roman" w:cs="Times New Roman"/>
          <w:sz w:val="24"/>
          <w:szCs w:val="24"/>
        </w:rPr>
        <w:t>.</w:t>
      </w:r>
      <w:r w:rsidR="009C0C85" w:rsidRPr="00B73D47">
        <w:rPr>
          <w:rFonts w:ascii="Times New Roman" w:hAnsi="Times New Roman" w:cs="Times New Roman"/>
          <w:sz w:val="24"/>
          <w:szCs w:val="24"/>
        </w:rPr>
        <w:t xml:space="preserve"> §</w:t>
      </w:r>
      <w:r w:rsidR="008643CA">
        <w:rPr>
          <w:rFonts w:ascii="Times New Roman" w:hAnsi="Times New Roman" w:cs="Times New Roman"/>
          <w:sz w:val="24"/>
          <w:szCs w:val="24"/>
        </w:rPr>
        <w:t>§</w:t>
      </w:r>
      <w:r w:rsidR="009C0C85" w:rsidRPr="00B73D47">
        <w:rPr>
          <w:rFonts w:ascii="Times New Roman" w:hAnsi="Times New Roman" w:cs="Times New Roman"/>
          <w:sz w:val="24"/>
          <w:szCs w:val="24"/>
        </w:rPr>
        <w:t> </w:t>
      </w:r>
      <w:r w:rsidR="00506B68" w:rsidRPr="00B73D47">
        <w:rPr>
          <w:rFonts w:ascii="Times New Roman" w:hAnsi="Times New Roman" w:cs="Times New Roman"/>
          <w:sz w:val="24"/>
          <w:szCs w:val="24"/>
        </w:rPr>
        <w:t>52-c(3)</w:t>
      </w:r>
      <w:r w:rsidR="008643CA">
        <w:rPr>
          <w:rFonts w:ascii="Times New Roman" w:hAnsi="Times New Roman" w:cs="Times New Roman"/>
          <w:sz w:val="24"/>
          <w:szCs w:val="24"/>
        </w:rPr>
        <w:t>-</w:t>
      </w:r>
      <w:r w:rsidR="00506B68" w:rsidRPr="00B73D47">
        <w:rPr>
          <w:rFonts w:ascii="Times New Roman" w:hAnsi="Times New Roman" w:cs="Times New Roman"/>
          <w:sz w:val="24"/>
          <w:szCs w:val="24"/>
        </w:rPr>
        <w:t>(4).</w:t>
      </w:r>
    </w:p>
    <w:p w:rsidR="009C0C85" w:rsidRPr="00B73D47" w:rsidRDefault="009C0C85" w:rsidP="00FD322C">
      <w:pPr>
        <w:widowControl w:val="0"/>
        <w:numPr>
          <w:ilvl w:val="3"/>
          <w:numId w:val="14"/>
        </w:numPr>
        <w:spacing w:after="240" w:line="240" w:lineRule="auto"/>
        <w:rPr>
          <w:rFonts w:ascii="Times New Roman" w:hAnsi="Times New Roman" w:cs="Times New Roman"/>
          <w:sz w:val="24"/>
          <w:szCs w:val="24"/>
        </w:rPr>
      </w:pPr>
      <w:r w:rsidRPr="00B73D47">
        <w:rPr>
          <w:rFonts w:ascii="Times New Roman" w:hAnsi="Times New Roman" w:cs="Times New Roman"/>
          <w:sz w:val="24"/>
          <w:szCs w:val="24"/>
        </w:rPr>
        <w:t>The law does not include any explicit</w:t>
      </w:r>
      <w:r w:rsidR="00C42DB7" w:rsidRPr="00B73D47">
        <w:rPr>
          <w:rFonts w:ascii="Times New Roman" w:hAnsi="Times New Roman" w:cs="Times New Roman"/>
          <w:sz w:val="24"/>
          <w:szCs w:val="24"/>
        </w:rPr>
        <w:t xml:space="preserve"> parody/satire exemption, but</w:t>
      </w:r>
      <w:r w:rsidRPr="00B73D47">
        <w:rPr>
          <w:rFonts w:ascii="Times New Roman" w:hAnsi="Times New Roman" w:cs="Times New Roman"/>
          <w:sz w:val="24"/>
          <w:szCs w:val="24"/>
        </w:rPr>
        <w:t xml:space="preserve"> these</w:t>
      </w:r>
      <w:r w:rsidR="00C42DB7" w:rsidRPr="00B73D47">
        <w:rPr>
          <w:rFonts w:ascii="Times New Roman" w:hAnsi="Times New Roman" w:cs="Times New Roman"/>
          <w:sz w:val="24"/>
          <w:szCs w:val="24"/>
        </w:rPr>
        <w:t xml:space="preserve"> should be excluded either by </w:t>
      </w:r>
      <w:r w:rsidR="00406851" w:rsidRPr="00B73D47">
        <w:rPr>
          <w:rFonts w:ascii="Times New Roman" w:hAnsi="Times New Roman" w:cs="Times New Roman"/>
          <w:sz w:val="24"/>
          <w:szCs w:val="24"/>
        </w:rPr>
        <w:t xml:space="preserve">“political or newsworthy value or similar work,” </w:t>
      </w:r>
      <w:r w:rsidR="00C42DB7" w:rsidRPr="00B73D47">
        <w:rPr>
          <w:rFonts w:ascii="Times New Roman" w:hAnsi="Times New Roman" w:cs="Times New Roman"/>
          <w:sz w:val="24"/>
          <w:szCs w:val="24"/>
        </w:rPr>
        <w:t>“commentary, criticism” or “protected by the constitution” exceptions.</w:t>
      </w:r>
      <w:r w:rsidR="008643CA">
        <w:rPr>
          <w:rFonts w:ascii="Times New Roman" w:hAnsi="Times New Roman" w:cs="Times New Roman"/>
          <w:sz w:val="24"/>
          <w:szCs w:val="24"/>
        </w:rPr>
        <w:t xml:space="preserve"> </w:t>
      </w:r>
      <w:r w:rsidR="008643CA">
        <w:rPr>
          <w:rFonts w:ascii="Times New Roman" w:hAnsi="Times New Roman" w:cs="Times New Roman"/>
          <w:i/>
          <w:sz w:val="24"/>
          <w:szCs w:val="24"/>
        </w:rPr>
        <w:t xml:space="preserve">Id. </w:t>
      </w:r>
      <w:r w:rsidR="008643CA">
        <w:rPr>
          <w:rFonts w:ascii="Times New Roman" w:hAnsi="Times New Roman" w:cs="Times New Roman"/>
          <w:sz w:val="24"/>
          <w:szCs w:val="24"/>
        </w:rPr>
        <w:t>§ 52-c(4).</w:t>
      </w:r>
    </w:p>
    <w:p w:rsidR="009C0C85" w:rsidRPr="00391BA8" w:rsidRDefault="006F2E6C" w:rsidP="008643CA">
      <w:pPr>
        <w:numPr>
          <w:ilvl w:val="0"/>
          <w:numId w:val="14"/>
        </w:numPr>
        <w:ind w:right="3870"/>
        <w:rPr>
          <w:rFonts w:ascii="Times New Roman" w:eastAsia="Calibri" w:hAnsi="Times New Roman" w:cs="Times New Roman"/>
          <w:b/>
          <w:sz w:val="28"/>
          <w:szCs w:val="28"/>
          <w:u w:val="single"/>
        </w:rPr>
      </w:pPr>
      <w:r w:rsidRPr="00391BA8">
        <w:rPr>
          <w:rFonts w:ascii="Times New Roman" w:eastAsia="Calibri" w:hAnsi="Times New Roman" w:cs="Times New Roman"/>
          <w:b/>
          <w:i/>
          <w:sz w:val="28"/>
          <w:szCs w:val="28"/>
        </w:rPr>
        <w:t>Porco v. Lifetime Ent</w:t>
      </w:r>
      <w:r w:rsidR="008643CA">
        <w:rPr>
          <w:rFonts w:ascii="Times New Roman" w:eastAsia="Calibri" w:hAnsi="Times New Roman" w:cs="Times New Roman"/>
          <w:b/>
          <w:i/>
          <w:sz w:val="28"/>
          <w:szCs w:val="28"/>
        </w:rPr>
        <w:t>m’t</w:t>
      </w:r>
      <w:r w:rsidRPr="00391BA8">
        <w:rPr>
          <w:rFonts w:ascii="Times New Roman" w:eastAsia="Calibri" w:hAnsi="Times New Roman" w:cs="Times New Roman"/>
          <w:b/>
          <w:i/>
          <w:sz w:val="28"/>
          <w:szCs w:val="28"/>
        </w:rPr>
        <w:t xml:space="preserve"> Serv</w:t>
      </w:r>
      <w:r w:rsidR="008643CA">
        <w:rPr>
          <w:rFonts w:ascii="Times New Roman" w:eastAsia="Calibri" w:hAnsi="Times New Roman" w:cs="Times New Roman"/>
          <w:b/>
          <w:i/>
          <w:sz w:val="28"/>
          <w:szCs w:val="28"/>
        </w:rPr>
        <w:t>s.</w:t>
      </w:r>
      <w:r w:rsidRPr="00391BA8">
        <w:rPr>
          <w:rFonts w:ascii="Times New Roman" w:eastAsia="Calibri" w:hAnsi="Times New Roman" w:cs="Times New Roman"/>
          <w:b/>
          <w:i/>
          <w:sz w:val="28"/>
          <w:szCs w:val="28"/>
        </w:rPr>
        <w:t>, LLC</w:t>
      </w:r>
      <w:r w:rsidR="00391BA8" w:rsidRPr="00391BA8">
        <w:rPr>
          <w:rFonts w:ascii="Times New Roman" w:eastAsia="Calibri" w:hAnsi="Times New Roman" w:cs="Times New Roman"/>
          <w:b/>
          <w:sz w:val="28"/>
          <w:szCs w:val="28"/>
        </w:rPr>
        <w:t xml:space="preserve">, </w:t>
      </w:r>
      <w:r w:rsidR="00391BA8" w:rsidRPr="00391BA8">
        <w:rPr>
          <w:rFonts w:ascii="Times New Roman" w:eastAsia="Calibri" w:hAnsi="Times New Roman" w:cs="Times New Roman"/>
          <w:b/>
          <w:sz w:val="28"/>
          <w:szCs w:val="28"/>
          <w:u w:val="single"/>
        </w:rPr>
        <w:t>195 A.D.3d 1351, 1352 (3rd Dep’t 2021)</w:t>
      </w:r>
    </w:p>
    <w:p w:rsidR="009C0C85" w:rsidRPr="00B73D47" w:rsidRDefault="009C0C85" w:rsidP="00FD322C">
      <w:pPr>
        <w:widowControl w:val="0"/>
        <w:numPr>
          <w:ilvl w:val="1"/>
          <w:numId w:val="14"/>
        </w:numPr>
        <w:spacing w:after="240" w:line="240" w:lineRule="auto"/>
        <w:rPr>
          <w:rFonts w:ascii="Times New Roman" w:hAnsi="Times New Roman" w:cs="Times New Roman"/>
          <w:sz w:val="24"/>
          <w:szCs w:val="24"/>
        </w:rPr>
      </w:pPr>
      <w:r w:rsidRPr="00B73D47">
        <w:rPr>
          <w:rFonts w:ascii="Times New Roman" w:eastAsia="Calibri" w:hAnsi="Times New Roman" w:cs="Times New Roman"/>
          <w:b/>
          <w:sz w:val="24"/>
          <w:szCs w:val="24"/>
        </w:rPr>
        <w:t>The Crime</w:t>
      </w:r>
    </w:p>
    <w:p w:rsidR="009C0C85" w:rsidRPr="00B73D47" w:rsidRDefault="006F2E6C" w:rsidP="00FD322C">
      <w:pPr>
        <w:widowControl w:val="0"/>
        <w:numPr>
          <w:ilvl w:val="2"/>
          <w:numId w:val="14"/>
        </w:numPr>
        <w:spacing w:after="240" w:line="240" w:lineRule="auto"/>
        <w:ind w:hanging="360"/>
        <w:rPr>
          <w:rFonts w:ascii="Times New Roman" w:hAnsi="Times New Roman" w:cs="Times New Roman"/>
          <w:sz w:val="24"/>
          <w:szCs w:val="24"/>
        </w:rPr>
      </w:pPr>
      <w:r w:rsidRPr="00B73D47">
        <w:rPr>
          <w:rFonts w:ascii="Times New Roman" w:eastAsia="Calibri" w:hAnsi="Times New Roman" w:cs="Times New Roman"/>
          <w:sz w:val="24"/>
          <w:szCs w:val="24"/>
        </w:rPr>
        <w:t>In 2004, Peter Porco was murdered and his wife Joan severely injured in an attack in their bed at home in  Delmar, New York, an Albany suburb.</w:t>
      </w:r>
    </w:p>
    <w:p w:rsidR="009C0C85" w:rsidRPr="008643CA" w:rsidRDefault="006F2E6C" w:rsidP="00FD322C">
      <w:pPr>
        <w:widowControl w:val="0"/>
        <w:numPr>
          <w:ilvl w:val="2"/>
          <w:numId w:val="14"/>
        </w:numPr>
        <w:spacing w:after="240" w:line="240" w:lineRule="auto"/>
        <w:ind w:hanging="360"/>
        <w:rPr>
          <w:rFonts w:ascii="Times New Roman" w:hAnsi="Times New Roman" w:cs="Times New Roman"/>
          <w:sz w:val="24"/>
          <w:szCs w:val="24"/>
        </w:rPr>
      </w:pPr>
      <w:r w:rsidRPr="00B73D47">
        <w:rPr>
          <w:rFonts w:ascii="Times New Roman" w:eastAsia="Calibri" w:hAnsi="Times New Roman" w:cs="Times New Roman"/>
          <w:sz w:val="24"/>
          <w:szCs w:val="24"/>
        </w:rPr>
        <w:t xml:space="preserve">Their son Christopher was charged with the murder of his father and attempted </w:t>
      </w:r>
      <w:r w:rsidRPr="008643CA">
        <w:rPr>
          <w:rFonts w:ascii="Times New Roman" w:eastAsia="Calibri" w:hAnsi="Times New Roman" w:cs="Times New Roman"/>
          <w:sz w:val="24"/>
          <w:szCs w:val="24"/>
        </w:rPr>
        <w:t xml:space="preserve">murder of his mother, and a jury convicted him in 2006. </w:t>
      </w:r>
    </w:p>
    <w:p w:rsidR="009C0C85" w:rsidRPr="008643CA" w:rsidRDefault="006F2E6C" w:rsidP="00FD322C">
      <w:pPr>
        <w:widowControl w:val="0"/>
        <w:numPr>
          <w:ilvl w:val="2"/>
          <w:numId w:val="14"/>
        </w:numPr>
        <w:spacing w:after="240" w:line="240" w:lineRule="auto"/>
        <w:ind w:hanging="360"/>
        <w:rPr>
          <w:rFonts w:ascii="Times New Roman" w:hAnsi="Times New Roman" w:cs="Times New Roman"/>
          <w:sz w:val="24"/>
          <w:szCs w:val="24"/>
        </w:rPr>
      </w:pPr>
      <w:r w:rsidRPr="008643CA">
        <w:rPr>
          <w:rFonts w:ascii="Times New Roman" w:eastAsia="Calibri" w:hAnsi="Times New Roman" w:cs="Times New Roman"/>
          <w:sz w:val="24"/>
          <w:szCs w:val="24"/>
        </w:rPr>
        <w:t xml:space="preserve">Porco </w:t>
      </w:r>
      <w:r w:rsidR="009C0C85" w:rsidRPr="008643CA">
        <w:rPr>
          <w:rFonts w:ascii="Times New Roman" w:eastAsia="Calibri" w:hAnsi="Times New Roman" w:cs="Times New Roman"/>
          <w:sz w:val="24"/>
          <w:szCs w:val="24"/>
        </w:rPr>
        <w:t xml:space="preserve">was </w:t>
      </w:r>
      <w:r w:rsidRPr="008643CA">
        <w:rPr>
          <w:rFonts w:ascii="Times New Roman" w:eastAsia="Calibri" w:hAnsi="Times New Roman" w:cs="Times New Roman"/>
          <w:sz w:val="24"/>
          <w:szCs w:val="24"/>
        </w:rPr>
        <w:t xml:space="preserve">sentenced to 50 years to life on each count and </w:t>
      </w:r>
      <w:r w:rsidR="009C0C85" w:rsidRPr="008643CA">
        <w:rPr>
          <w:rFonts w:ascii="Times New Roman" w:eastAsia="Calibri" w:hAnsi="Times New Roman" w:cs="Times New Roman"/>
          <w:sz w:val="24"/>
          <w:szCs w:val="24"/>
        </w:rPr>
        <w:t xml:space="preserve">will not be </w:t>
      </w:r>
      <w:r w:rsidRPr="008643CA">
        <w:rPr>
          <w:rFonts w:ascii="Times New Roman" w:eastAsia="Calibri" w:hAnsi="Times New Roman" w:cs="Times New Roman"/>
          <w:sz w:val="24"/>
          <w:szCs w:val="24"/>
        </w:rPr>
        <w:t>eligible for parole until 2052, when he’ll be 68 years old.</w:t>
      </w:r>
    </w:p>
    <w:p w:rsidR="009C0C85" w:rsidRPr="008643CA" w:rsidRDefault="009C0C85" w:rsidP="00FD322C">
      <w:pPr>
        <w:widowControl w:val="0"/>
        <w:numPr>
          <w:ilvl w:val="1"/>
          <w:numId w:val="14"/>
        </w:numPr>
        <w:spacing w:after="240" w:line="240" w:lineRule="auto"/>
        <w:rPr>
          <w:rFonts w:ascii="Times New Roman" w:hAnsi="Times New Roman" w:cs="Times New Roman"/>
          <w:sz w:val="24"/>
          <w:szCs w:val="24"/>
        </w:rPr>
      </w:pPr>
      <w:r w:rsidRPr="008643CA">
        <w:rPr>
          <w:rFonts w:ascii="Times New Roman" w:eastAsia="Calibri" w:hAnsi="Times New Roman" w:cs="Times New Roman"/>
          <w:b/>
          <w:sz w:val="24"/>
          <w:szCs w:val="24"/>
        </w:rPr>
        <w:t>The Lifetime Docudrama</w:t>
      </w:r>
    </w:p>
    <w:p w:rsidR="009C0C85" w:rsidRPr="008643CA" w:rsidRDefault="006F2E6C" w:rsidP="00FD322C">
      <w:pPr>
        <w:widowControl w:val="0"/>
        <w:numPr>
          <w:ilvl w:val="2"/>
          <w:numId w:val="14"/>
        </w:numPr>
        <w:spacing w:after="240" w:line="240" w:lineRule="auto"/>
        <w:ind w:hanging="360"/>
        <w:rPr>
          <w:rFonts w:ascii="Times New Roman" w:hAnsi="Times New Roman" w:cs="Times New Roman"/>
          <w:sz w:val="24"/>
          <w:szCs w:val="24"/>
        </w:rPr>
      </w:pPr>
      <w:r w:rsidRPr="008643CA">
        <w:rPr>
          <w:rFonts w:ascii="Times New Roman" w:eastAsia="Calibri" w:hAnsi="Times New Roman" w:cs="Times New Roman"/>
          <w:sz w:val="24"/>
          <w:szCs w:val="24"/>
        </w:rPr>
        <w:t xml:space="preserve">In 2013, Lifetime aired </w:t>
      </w:r>
      <w:r w:rsidRPr="008643CA">
        <w:rPr>
          <w:rFonts w:ascii="Times New Roman" w:eastAsia="Calibri" w:hAnsi="Times New Roman" w:cs="Times New Roman"/>
          <w:i/>
          <w:sz w:val="24"/>
          <w:szCs w:val="24"/>
        </w:rPr>
        <w:t>Romeo Killer: The Chris Porco Story</w:t>
      </w:r>
      <w:r w:rsidR="009C0C85" w:rsidRPr="008643CA">
        <w:rPr>
          <w:rFonts w:ascii="Times New Roman" w:eastAsia="Calibri" w:hAnsi="Times New Roman" w:cs="Times New Roman"/>
          <w:sz w:val="24"/>
          <w:szCs w:val="24"/>
        </w:rPr>
        <w:t xml:space="preserve">. </w:t>
      </w:r>
    </w:p>
    <w:p w:rsidR="009C0C85" w:rsidRPr="008643CA" w:rsidRDefault="009C0C85" w:rsidP="00FD322C">
      <w:pPr>
        <w:widowControl w:val="0"/>
        <w:numPr>
          <w:ilvl w:val="2"/>
          <w:numId w:val="14"/>
        </w:numPr>
        <w:spacing w:after="240" w:line="240" w:lineRule="auto"/>
        <w:ind w:hanging="360"/>
        <w:rPr>
          <w:rFonts w:ascii="Times New Roman" w:hAnsi="Times New Roman" w:cs="Times New Roman"/>
          <w:sz w:val="24"/>
          <w:szCs w:val="24"/>
        </w:rPr>
      </w:pPr>
      <w:r w:rsidRPr="00C60960">
        <w:rPr>
          <w:rFonts w:ascii="Times New Roman" w:eastAsia="Calibri" w:hAnsi="Times New Roman" w:cs="Times New Roman"/>
          <w:sz w:val="24"/>
          <w:szCs w:val="24"/>
          <w:shd w:val="clear" w:color="auto" w:fill="FFFFFF"/>
        </w:rPr>
        <w:t>It included a disclaimer at the beginning—“B</w:t>
      </w:r>
      <w:r w:rsidR="006F2E6C" w:rsidRPr="00C60960">
        <w:rPr>
          <w:rFonts w:ascii="Times New Roman" w:eastAsia="Calibri" w:hAnsi="Times New Roman" w:cs="Times New Roman"/>
          <w:sz w:val="24"/>
          <w:szCs w:val="24"/>
          <w:shd w:val="clear" w:color="auto" w:fill="FFFFFF"/>
        </w:rPr>
        <w:t>ased on a true story”</w:t>
      </w:r>
      <w:r w:rsidRPr="00C60960">
        <w:rPr>
          <w:rFonts w:ascii="Times New Roman" w:eastAsia="Calibri" w:hAnsi="Times New Roman" w:cs="Times New Roman"/>
          <w:sz w:val="24"/>
          <w:szCs w:val="24"/>
          <w:shd w:val="clear" w:color="auto" w:fill="FFFFFF"/>
        </w:rPr>
        <w:t xml:space="preserve">—and at the end, a statement that it was “a </w:t>
      </w:r>
      <w:r w:rsidR="006F2E6C" w:rsidRPr="00C60960">
        <w:rPr>
          <w:rFonts w:ascii="Times New Roman" w:eastAsia="Calibri" w:hAnsi="Times New Roman" w:cs="Times New Roman"/>
          <w:sz w:val="24"/>
          <w:szCs w:val="24"/>
          <w:shd w:val="clear" w:color="auto" w:fill="FFFFFF"/>
        </w:rPr>
        <w:t>dramatization” in which “some names have been changed, some characters are composites and certain other characters and events have been fictionalized.</w:t>
      </w:r>
      <w:r w:rsidRPr="00C60960">
        <w:rPr>
          <w:rFonts w:ascii="Times New Roman" w:eastAsia="Calibri" w:hAnsi="Times New Roman" w:cs="Times New Roman"/>
          <w:sz w:val="24"/>
          <w:szCs w:val="24"/>
          <w:shd w:val="clear" w:color="auto" w:fill="FFFFFF"/>
        </w:rPr>
        <w:t>”</w:t>
      </w:r>
    </w:p>
    <w:p w:rsidR="009C0C85" w:rsidRPr="008643CA" w:rsidRDefault="009C0C85" w:rsidP="00E60D3E">
      <w:pPr>
        <w:keepNext/>
        <w:widowControl w:val="0"/>
        <w:numPr>
          <w:ilvl w:val="1"/>
          <w:numId w:val="14"/>
        </w:numPr>
        <w:spacing w:after="240" w:line="240" w:lineRule="auto"/>
        <w:rPr>
          <w:rFonts w:ascii="Times New Roman" w:hAnsi="Times New Roman" w:cs="Times New Roman"/>
          <w:sz w:val="24"/>
          <w:szCs w:val="24"/>
        </w:rPr>
      </w:pPr>
      <w:r w:rsidRPr="008643CA">
        <w:rPr>
          <w:rFonts w:ascii="Times New Roman" w:eastAsia="Calibri" w:hAnsi="Times New Roman" w:cs="Times New Roman"/>
          <w:b/>
          <w:sz w:val="24"/>
          <w:szCs w:val="24"/>
        </w:rPr>
        <w:t>The Lawsuit</w:t>
      </w:r>
    </w:p>
    <w:p w:rsidR="009C0C85" w:rsidRPr="00B73D47" w:rsidRDefault="006F2E6C" w:rsidP="00FD322C">
      <w:pPr>
        <w:widowControl w:val="0"/>
        <w:numPr>
          <w:ilvl w:val="2"/>
          <w:numId w:val="14"/>
        </w:numPr>
        <w:spacing w:after="240" w:line="240" w:lineRule="auto"/>
        <w:ind w:hanging="360"/>
        <w:rPr>
          <w:rFonts w:ascii="Times New Roman" w:hAnsi="Times New Roman" w:cs="Times New Roman"/>
          <w:sz w:val="24"/>
          <w:szCs w:val="24"/>
        </w:rPr>
      </w:pPr>
      <w:r w:rsidRPr="008643CA">
        <w:rPr>
          <w:rFonts w:ascii="Times New Roman" w:eastAsia="Calibri" w:hAnsi="Times New Roman" w:cs="Times New Roman"/>
          <w:sz w:val="24"/>
          <w:szCs w:val="24"/>
        </w:rPr>
        <w:t xml:space="preserve">Shortly before the airing, Chris Porco, acting </w:t>
      </w:r>
      <w:r w:rsidRPr="008643CA">
        <w:rPr>
          <w:rFonts w:ascii="Times New Roman" w:eastAsia="Calibri" w:hAnsi="Times New Roman" w:cs="Times New Roman"/>
          <w:i/>
          <w:sz w:val="24"/>
          <w:szCs w:val="24"/>
        </w:rPr>
        <w:t>pro se</w:t>
      </w:r>
      <w:r w:rsidRPr="008643CA">
        <w:rPr>
          <w:rFonts w:ascii="Times New Roman" w:eastAsia="Calibri" w:hAnsi="Times New Roman" w:cs="Times New Roman"/>
          <w:sz w:val="24"/>
          <w:szCs w:val="24"/>
        </w:rPr>
        <w:t>, filed a lawsuit</w:t>
      </w:r>
      <w:r w:rsidR="00391BA8" w:rsidRPr="008643CA">
        <w:rPr>
          <w:rFonts w:ascii="Times New Roman" w:eastAsia="Calibri" w:hAnsi="Times New Roman" w:cs="Times New Roman"/>
          <w:sz w:val="24"/>
          <w:szCs w:val="24"/>
        </w:rPr>
        <w:t xml:space="preserve"> in New York Supreme Court, Clinton County,</w:t>
      </w:r>
      <w:r w:rsidRPr="008643CA">
        <w:rPr>
          <w:rFonts w:ascii="Times New Roman" w:eastAsia="Calibri" w:hAnsi="Times New Roman" w:cs="Times New Roman"/>
          <w:sz w:val="24"/>
          <w:szCs w:val="24"/>
        </w:rPr>
        <w:t xml:space="preserve"> under </w:t>
      </w:r>
      <w:r w:rsidR="009C0C85" w:rsidRPr="008643CA">
        <w:rPr>
          <w:rFonts w:ascii="Times New Roman" w:eastAsia="Calibri" w:hAnsi="Times New Roman" w:cs="Times New Roman"/>
          <w:sz w:val="24"/>
          <w:szCs w:val="24"/>
        </w:rPr>
        <w:t xml:space="preserve">New York Civil Rights Law §§ 50 and 51, seeking </w:t>
      </w:r>
      <w:r w:rsidRPr="00B73D47">
        <w:rPr>
          <w:rFonts w:ascii="Times New Roman" w:eastAsia="Calibri" w:hAnsi="Times New Roman" w:cs="Times New Roman"/>
          <w:sz w:val="24"/>
          <w:szCs w:val="24"/>
        </w:rPr>
        <w:t>to enjoin</w:t>
      </w:r>
      <w:r w:rsidR="009C0C85" w:rsidRPr="00B73D47">
        <w:rPr>
          <w:rFonts w:ascii="Times New Roman" w:eastAsia="Calibri" w:hAnsi="Times New Roman" w:cs="Times New Roman"/>
          <w:sz w:val="24"/>
          <w:szCs w:val="24"/>
        </w:rPr>
        <w:t xml:space="preserve"> the</w:t>
      </w:r>
      <w:r w:rsidRPr="00B73D47">
        <w:rPr>
          <w:rFonts w:ascii="Times New Roman" w:eastAsia="Calibri" w:hAnsi="Times New Roman" w:cs="Times New Roman"/>
          <w:sz w:val="24"/>
          <w:szCs w:val="24"/>
        </w:rPr>
        <w:t xml:space="preserve"> broadcast of the movie. </w:t>
      </w:r>
    </w:p>
    <w:p w:rsidR="00FD322C" w:rsidRPr="00FD322C" w:rsidRDefault="009C0C85" w:rsidP="00391BA8">
      <w:pPr>
        <w:widowControl w:val="0"/>
        <w:numPr>
          <w:ilvl w:val="2"/>
          <w:numId w:val="14"/>
        </w:numPr>
        <w:spacing w:after="240" w:line="240" w:lineRule="auto"/>
        <w:ind w:hanging="360"/>
        <w:rPr>
          <w:rFonts w:ascii="Times New Roman" w:hAnsi="Times New Roman" w:cs="Times New Roman"/>
          <w:sz w:val="24"/>
          <w:szCs w:val="24"/>
        </w:rPr>
      </w:pPr>
      <w:r w:rsidRPr="00B73D47">
        <w:rPr>
          <w:rFonts w:ascii="Times New Roman" w:hAnsi="Times New Roman" w:cs="Times New Roman"/>
          <w:sz w:val="24"/>
          <w:szCs w:val="24"/>
        </w:rPr>
        <w:t xml:space="preserve">The </w:t>
      </w:r>
      <w:r w:rsidR="006F2E6C" w:rsidRPr="00B73D47">
        <w:rPr>
          <w:rFonts w:ascii="Times New Roman" w:eastAsia="Calibri" w:hAnsi="Times New Roman" w:cs="Times New Roman"/>
          <w:sz w:val="24"/>
          <w:szCs w:val="24"/>
        </w:rPr>
        <w:t xml:space="preserve">Supreme Court granted </w:t>
      </w:r>
      <w:r w:rsidRPr="00B73D47">
        <w:rPr>
          <w:rFonts w:ascii="Times New Roman" w:eastAsia="Calibri" w:hAnsi="Times New Roman" w:cs="Times New Roman"/>
          <w:sz w:val="24"/>
          <w:szCs w:val="24"/>
        </w:rPr>
        <w:t xml:space="preserve">a Temporary Restraining Order, which the </w:t>
      </w:r>
      <w:r w:rsidR="006F2E6C" w:rsidRPr="00B73D47">
        <w:rPr>
          <w:rFonts w:ascii="Times New Roman" w:eastAsia="Calibri" w:hAnsi="Times New Roman" w:cs="Times New Roman"/>
          <w:sz w:val="24"/>
          <w:szCs w:val="24"/>
        </w:rPr>
        <w:t>Appellate Division quickly reversed</w:t>
      </w:r>
      <w:r w:rsidRPr="00B73D47">
        <w:rPr>
          <w:rFonts w:ascii="Times New Roman" w:eastAsia="Calibri" w:hAnsi="Times New Roman" w:cs="Times New Roman"/>
          <w:sz w:val="24"/>
          <w:szCs w:val="24"/>
        </w:rPr>
        <w:t>, ruling that the</w:t>
      </w:r>
      <w:r w:rsidR="006F2E6C" w:rsidRPr="00B73D47">
        <w:rPr>
          <w:rFonts w:ascii="Times New Roman" w:eastAsia="Calibri" w:hAnsi="Times New Roman" w:cs="Times New Roman"/>
          <w:sz w:val="24"/>
          <w:szCs w:val="24"/>
        </w:rPr>
        <w:t xml:space="preserve"> TRO </w:t>
      </w:r>
      <w:r w:rsidRPr="00B73D47">
        <w:rPr>
          <w:rFonts w:ascii="Times New Roman" w:eastAsia="Calibri" w:hAnsi="Times New Roman" w:cs="Times New Roman"/>
          <w:sz w:val="24"/>
          <w:szCs w:val="24"/>
        </w:rPr>
        <w:t>was</w:t>
      </w:r>
      <w:r w:rsidR="006F2E6C" w:rsidRPr="00B73D47">
        <w:rPr>
          <w:rFonts w:ascii="Times New Roman" w:eastAsia="Calibri" w:hAnsi="Times New Roman" w:cs="Times New Roman"/>
          <w:sz w:val="24"/>
          <w:szCs w:val="24"/>
        </w:rPr>
        <w:t xml:space="preserve"> an impermissible prior restraint</w:t>
      </w:r>
      <w:r w:rsidR="00915AE1">
        <w:rPr>
          <w:rFonts w:ascii="Times New Roman" w:eastAsia="Calibri" w:hAnsi="Times New Roman" w:cs="Times New Roman"/>
          <w:sz w:val="24"/>
          <w:szCs w:val="24"/>
        </w:rPr>
        <w:t xml:space="preserve">. </w:t>
      </w:r>
      <w:r w:rsidRPr="00B73D47">
        <w:rPr>
          <w:rFonts w:ascii="Times New Roman" w:eastAsia="Calibri" w:hAnsi="Times New Roman" w:cs="Times New Roman"/>
          <w:i/>
          <w:sz w:val="24"/>
          <w:szCs w:val="24"/>
        </w:rPr>
        <w:t xml:space="preserve">See </w:t>
      </w:r>
      <w:r w:rsidR="006F2E6C" w:rsidRPr="00B73D47">
        <w:rPr>
          <w:rFonts w:ascii="Times New Roman" w:eastAsia="Calibri" w:hAnsi="Times New Roman" w:cs="Times New Roman"/>
          <w:i/>
          <w:sz w:val="24"/>
          <w:szCs w:val="24"/>
        </w:rPr>
        <w:t>Porco v. Lifetime Ent</w:t>
      </w:r>
      <w:r w:rsidR="003D0B44">
        <w:rPr>
          <w:rFonts w:ascii="Times New Roman" w:eastAsia="Calibri" w:hAnsi="Times New Roman" w:cs="Times New Roman"/>
          <w:i/>
          <w:sz w:val="24"/>
          <w:szCs w:val="24"/>
        </w:rPr>
        <w:t>m’t</w:t>
      </w:r>
      <w:r w:rsidR="006F2E6C" w:rsidRPr="00B73D47">
        <w:rPr>
          <w:rFonts w:ascii="Times New Roman" w:eastAsia="Calibri" w:hAnsi="Times New Roman" w:cs="Times New Roman"/>
          <w:i/>
          <w:sz w:val="24"/>
          <w:szCs w:val="24"/>
        </w:rPr>
        <w:t xml:space="preserve"> Servs., LLC</w:t>
      </w:r>
      <w:r w:rsidR="006F2E6C" w:rsidRPr="00B73D47">
        <w:rPr>
          <w:rFonts w:ascii="Times New Roman" w:eastAsia="Calibri" w:hAnsi="Times New Roman" w:cs="Times New Roman"/>
          <w:sz w:val="24"/>
          <w:szCs w:val="24"/>
        </w:rPr>
        <w:t>, 116 A</w:t>
      </w:r>
      <w:r w:rsidRPr="00B73D47">
        <w:rPr>
          <w:rFonts w:ascii="Times New Roman" w:eastAsia="Calibri" w:hAnsi="Times New Roman" w:cs="Times New Roman"/>
          <w:sz w:val="24"/>
          <w:szCs w:val="24"/>
        </w:rPr>
        <w:t>.</w:t>
      </w:r>
      <w:r w:rsidR="006F2E6C" w:rsidRPr="00B73D47">
        <w:rPr>
          <w:rFonts w:ascii="Times New Roman" w:eastAsia="Calibri" w:hAnsi="Times New Roman" w:cs="Times New Roman"/>
          <w:sz w:val="24"/>
          <w:szCs w:val="24"/>
        </w:rPr>
        <w:t>D</w:t>
      </w:r>
      <w:r w:rsidRPr="00B73D47">
        <w:rPr>
          <w:rFonts w:ascii="Times New Roman" w:eastAsia="Calibri" w:hAnsi="Times New Roman" w:cs="Times New Roman"/>
          <w:sz w:val="24"/>
          <w:szCs w:val="24"/>
        </w:rPr>
        <w:t>.</w:t>
      </w:r>
      <w:r w:rsidR="006F2E6C" w:rsidRPr="00B73D47">
        <w:rPr>
          <w:rFonts w:ascii="Times New Roman" w:eastAsia="Calibri" w:hAnsi="Times New Roman" w:cs="Times New Roman"/>
          <w:sz w:val="24"/>
          <w:szCs w:val="24"/>
        </w:rPr>
        <w:t>3d 1264 (</w:t>
      </w:r>
      <w:r w:rsidR="00391BA8">
        <w:rPr>
          <w:rFonts w:ascii="Times New Roman" w:eastAsia="Calibri" w:hAnsi="Times New Roman" w:cs="Times New Roman"/>
          <w:sz w:val="24"/>
          <w:szCs w:val="24"/>
        </w:rPr>
        <w:t xml:space="preserve">3rd Dep’t </w:t>
      </w:r>
      <w:r w:rsidR="006F2E6C" w:rsidRPr="00B73D47">
        <w:rPr>
          <w:rFonts w:ascii="Times New Roman" w:eastAsia="Calibri" w:hAnsi="Times New Roman" w:cs="Times New Roman"/>
          <w:sz w:val="24"/>
          <w:szCs w:val="24"/>
        </w:rPr>
        <w:t>2014)</w:t>
      </w:r>
      <w:r w:rsidR="00FD322C">
        <w:rPr>
          <w:rFonts w:ascii="Times New Roman" w:eastAsia="Calibri" w:hAnsi="Times New Roman" w:cs="Times New Roman"/>
          <w:sz w:val="24"/>
          <w:szCs w:val="24"/>
        </w:rPr>
        <w:t>.</w:t>
      </w:r>
    </w:p>
    <w:p w:rsidR="00391BA8" w:rsidRPr="003D0B44" w:rsidRDefault="00FD322C" w:rsidP="00391BA8">
      <w:pPr>
        <w:widowControl w:val="0"/>
        <w:numPr>
          <w:ilvl w:val="2"/>
          <w:numId w:val="14"/>
        </w:numPr>
        <w:spacing w:after="240" w:line="240" w:lineRule="auto"/>
        <w:ind w:hanging="360"/>
        <w:rPr>
          <w:rFonts w:ascii="Times New Roman" w:hAnsi="Times New Roman" w:cs="Times New Roman"/>
          <w:sz w:val="24"/>
          <w:szCs w:val="24"/>
        </w:rPr>
      </w:pPr>
      <w:r>
        <w:rPr>
          <w:rFonts w:ascii="Times New Roman" w:eastAsia="Calibri" w:hAnsi="Times New Roman" w:cs="Times New Roman"/>
          <w:sz w:val="24"/>
          <w:szCs w:val="24"/>
        </w:rPr>
        <w:t xml:space="preserve">The </w:t>
      </w:r>
      <w:r w:rsidR="006F2E6C" w:rsidRPr="00FD322C">
        <w:rPr>
          <w:rFonts w:ascii="Times New Roman" w:eastAsia="Calibri" w:hAnsi="Times New Roman" w:cs="Times New Roman"/>
          <w:sz w:val="24"/>
          <w:szCs w:val="24"/>
        </w:rPr>
        <w:t xml:space="preserve">Supreme Court then granted </w:t>
      </w:r>
      <w:r>
        <w:rPr>
          <w:rFonts w:ascii="Times New Roman" w:eastAsia="Calibri" w:hAnsi="Times New Roman" w:cs="Times New Roman"/>
          <w:sz w:val="24"/>
          <w:szCs w:val="24"/>
        </w:rPr>
        <w:t xml:space="preserve">Lifetime’s </w:t>
      </w:r>
      <w:r w:rsidR="006F2E6C" w:rsidRPr="00FD322C">
        <w:rPr>
          <w:rFonts w:ascii="Times New Roman" w:eastAsia="Calibri" w:hAnsi="Times New Roman" w:cs="Times New Roman"/>
          <w:sz w:val="24"/>
          <w:szCs w:val="24"/>
        </w:rPr>
        <w:t>motion to dismiss</w:t>
      </w:r>
      <w:r>
        <w:rPr>
          <w:rFonts w:ascii="Times New Roman" w:eastAsia="Calibri" w:hAnsi="Times New Roman" w:cs="Times New Roman"/>
          <w:sz w:val="24"/>
          <w:szCs w:val="24"/>
        </w:rPr>
        <w:t xml:space="preserve">, but the </w:t>
      </w:r>
      <w:r w:rsidR="006F2E6C" w:rsidRPr="00FD322C">
        <w:rPr>
          <w:rFonts w:ascii="Times New Roman" w:eastAsia="Calibri" w:hAnsi="Times New Roman" w:cs="Times New Roman"/>
          <w:sz w:val="24"/>
          <w:szCs w:val="24"/>
        </w:rPr>
        <w:t>Appellate Division reversed</w:t>
      </w:r>
      <w:r w:rsidR="00BD4EFC">
        <w:rPr>
          <w:rFonts w:ascii="Times New Roman" w:eastAsia="Calibri" w:hAnsi="Times New Roman" w:cs="Times New Roman"/>
          <w:sz w:val="24"/>
          <w:szCs w:val="24"/>
        </w:rPr>
        <w:t>, ruling that plaintiff</w:t>
      </w:r>
      <w:r w:rsidR="00391BA8">
        <w:rPr>
          <w:rFonts w:ascii="Times New Roman" w:eastAsia="Calibri" w:hAnsi="Times New Roman" w:cs="Times New Roman"/>
          <w:sz w:val="24"/>
          <w:szCs w:val="24"/>
        </w:rPr>
        <w:t xml:space="preserve">’s allegations of fictionalization were sufficient to survive a motion to dismiss, under </w:t>
      </w:r>
      <w:r w:rsidR="00391BA8" w:rsidRPr="00391BA8">
        <w:rPr>
          <w:rFonts w:ascii="Times New Roman" w:eastAsia="Calibri" w:hAnsi="Times New Roman" w:cs="Times New Roman"/>
          <w:i/>
          <w:sz w:val="24"/>
          <w:szCs w:val="24"/>
        </w:rPr>
        <w:t>Binns v. Vitagraph Co. of Am</w:t>
      </w:r>
      <w:r w:rsidR="003D0B44">
        <w:rPr>
          <w:rFonts w:ascii="Times New Roman" w:eastAsia="Calibri" w:hAnsi="Times New Roman" w:cs="Times New Roman"/>
          <w:i/>
          <w:sz w:val="24"/>
          <w:szCs w:val="24"/>
        </w:rPr>
        <w:t>erica</w:t>
      </w:r>
      <w:r w:rsidR="00391BA8" w:rsidRPr="00391BA8">
        <w:rPr>
          <w:rFonts w:ascii="Times New Roman" w:eastAsia="Calibri" w:hAnsi="Times New Roman" w:cs="Times New Roman"/>
          <w:sz w:val="24"/>
          <w:szCs w:val="24"/>
        </w:rPr>
        <w:t>, 210 N.Y. 51, 56 (1913)</w:t>
      </w:r>
      <w:r w:rsidR="00391BA8">
        <w:rPr>
          <w:rFonts w:ascii="Times New Roman" w:eastAsia="Calibri" w:hAnsi="Times New Roman" w:cs="Times New Roman"/>
          <w:sz w:val="24"/>
          <w:szCs w:val="24"/>
        </w:rPr>
        <w:t xml:space="preserve">, and </w:t>
      </w:r>
      <w:r w:rsidR="00391BA8" w:rsidRPr="00391BA8">
        <w:rPr>
          <w:rFonts w:ascii="Times New Roman" w:eastAsia="Calibri" w:hAnsi="Times New Roman" w:cs="Times New Roman"/>
          <w:i/>
          <w:sz w:val="24"/>
          <w:szCs w:val="24"/>
        </w:rPr>
        <w:t>Spahn v. Julian Messner, Inc.</w:t>
      </w:r>
      <w:r w:rsidR="00391BA8">
        <w:rPr>
          <w:rFonts w:ascii="Times New Roman" w:eastAsia="Calibri" w:hAnsi="Times New Roman" w:cs="Times New Roman"/>
          <w:sz w:val="24"/>
          <w:szCs w:val="24"/>
        </w:rPr>
        <w:t>, 21 N.Y.2d 124, 128 (1967)</w:t>
      </w:r>
      <w:r w:rsidR="00915AE1">
        <w:rPr>
          <w:rFonts w:ascii="Times New Roman" w:eastAsia="Calibri" w:hAnsi="Times New Roman" w:cs="Times New Roman"/>
          <w:sz w:val="24"/>
          <w:szCs w:val="24"/>
        </w:rPr>
        <w:t xml:space="preserve">. </w:t>
      </w:r>
      <w:r>
        <w:rPr>
          <w:rFonts w:ascii="Times New Roman" w:eastAsia="Calibri" w:hAnsi="Times New Roman" w:cs="Times New Roman"/>
          <w:i/>
          <w:sz w:val="24"/>
          <w:szCs w:val="24"/>
        </w:rPr>
        <w:t xml:space="preserve">See </w:t>
      </w:r>
      <w:r w:rsidR="006F2E6C" w:rsidRPr="00FD322C">
        <w:rPr>
          <w:rFonts w:ascii="Times New Roman" w:eastAsia="Calibri" w:hAnsi="Times New Roman" w:cs="Times New Roman"/>
          <w:i/>
          <w:sz w:val="24"/>
          <w:szCs w:val="24"/>
        </w:rPr>
        <w:t>Porco v. Lifetime Ent</w:t>
      </w:r>
      <w:r w:rsidR="003D0B44">
        <w:rPr>
          <w:rFonts w:ascii="Times New Roman" w:eastAsia="Calibri" w:hAnsi="Times New Roman" w:cs="Times New Roman"/>
          <w:i/>
          <w:sz w:val="24"/>
          <w:szCs w:val="24"/>
        </w:rPr>
        <w:t>m’t</w:t>
      </w:r>
      <w:r w:rsidR="006F2E6C" w:rsidRPr="00FD322C">
        <w:rPr>
          <w:rFonts w:ascii="Times New Roman" w:eastAsia="Calibri" w:hAnsi="Times New Roman" w:cs="Times New Roman"/>
          <w:i/>
          <w:sz w:val="24"/>
          <w:szCs w:val="24"/>
        </w:rPr>
        <w:t xml:space="preserve"> Servs., LLC</w:t>
      </w:r>
      <w:r w:rsidR="006F2E6C" w:rsidRPr="00FD322C">
        <w:rPr>
          <w:rFonts w:ascii="Times New Roman" w:eastAsia="Calibri" w:hAnsi="Times New Roman" w:cs="Times New Roman"/>
          <w:sz w:val="24"/>
          <w:szCs w:val="24"/>
        </w:rPr>
        <w:t>, 147 A</w:t>
      </w:r>
      <w:r>
        <w:rPr>
          <w:rFonts w:ascii="Times New Roman" w:eastAsia="Calibri" w:hAnsi="Times New Roman" w:cs="Times New Roman"/>
          <w:sz w:val="24"/>
          <w:szCs w:val="24"/>
        </w:rPr>
        <w:t>.</w:t>
      </w:r>
      <w:r w:rsidR="006F2E6C" w:rsidRPr="00FD322C">
        <w:rPr>
          <w:rFonts w:ascii="Times New Roman" w:eastAsia="Calibri" w:hAnsi="Times New Roman" w:cs="Times New Roman"/>
          <w:sz w:val="24"/>
          <w:szCs w:val="24"/>
        </w:rPr>
        <w:t>D</w:t>
      </w:r>
      <w:r>
        <w:rPr>
          <w:rFonts w:ascii="Times New Roman" w:eastAsia="Calibri" w:hAnsi="Times New Roman" w:cs="Times New Roman"/>
          <w:sz w:val="24"/>
          <w:szCs w:val="24"/>
        </w:rPr>
        <w:t>.</w:t>
      </w:r>
      <w:r w:rsidR="006F2E6C" w:rsidRPr="00FD322C">
        <w:rPr>
          <w:rFonts w:ascii="Times New Roman" w:eastAsia="Calibri" w:hAnsi="Times New Roman" w:cs="Times New Roman"/>
          <w:sz w:val="24"/>
          <w:szCs w:val="24"/>
        </w:rPr>
        <w:t>3d 1253 (</w:t>
      </w:r>
      <w:r w:rsidR="00BD4EFC">
        <w:rPr>
          <w:rFonts w:ascii="Times New Roman" w:eastAsia="Calibri" w:hAnsi="Times New Roman" w:cs="Times New Roman"/>
          <w:sz w:val="24"/>
          <w:szCs w:val="24"/>
        </w:rPr>
        <w:t xml:space="preserve">3rd Dep’t </w:t>
      </w:r>
      <w:r w:rsidR="006F2E6C" w:rsidRPr="00FD322C">
        <w:rPr>
          <w:rFonts w:ascii="Times New Roman" w:eastAsia="Calibri" w:hAnsi="Times New Roman" w:cs="Times New Roman"/>
          <w:sz w:val="24"/>
          <w:szCs w:val="24"/>
        </w:rPr>
        <w:t>2017)</w:t>
      </w:r>
      <w:r w:rsidR="00915AE1">
        <w:rPr>
          <w:rFonts w:ascii="Times New Roman" w:eastAsia="Calibri" w:hAnsi="Times New Roman" w:cs="Times New Roman"/>
          <w:sz w:val="24"/>
          <w:szCs w:val="24"/>
        </w:rPr>
        <w:t xml:space="preserve">. </w:t>
      </w:r>
      <w:r w:rsidR="00BD4EFC">
        <w:rPr>
          <w:rFonts w:ascii="Times New Roman" w:eastAsia="Calibri" w:hAnsi="Times New Roman" w:cs="Times New Roman"/>
          <w:sz w:val="24"/>
          <w:szCs w:val="24"/>
        </w:rPr>
        <w:t xml:space="preserve">The New York </w:t>
      </w:r>
      <w:r w:rsidR="006F2E6C" w:rsidRPr="00FD322C">
        <w:rPr>
          <w:rFonts w:ascii="Times New Roman" w:eastAsia="Calibri" w:hAnsi="Times New Roman" w:cs="Times New Roman"/>
          <w:sz w:val="24"/>
          <w:szCs w:val="24"/>
        </w:rPr>
        <w:t xml:space="preserve">Court of Appeals declined to </w:t>
      </w:r>
      <w:r w:rsidR="006F2E6C" w:rsidRPr="003D0B44">
        <w:rPr>
          <w:rFonts w:ascii="Times New Roman" w:eastAsia="Calibri" w:hAnsi="Times New Roman" w:cs="Times New Roman"/>
          <w:sz w:val="24"/>
          <w:szCs w:val="24"/>
        </w:rPr>
        <w:t>hear case</w:t>
      </w:r>
      <w:r w:rsidR="00391BA8" w:rsidRPr="003D0B44">
        <w:rPr>
          <w:rFonts w:ascii="Times New Roman" w:eastAsia="Calibri" w:hAnsi="Times New Roman" w:cs="Times New Roman"/>
          <w:sz w:val="24"/>
          <w:szCs w:val="24"/>
        </w:rPr>
        <w:t xml:space="preserve">. </w:t>
      </w:r>
    </w:p>
    <w:p w:rsidR="00391BA8" w:rsidRPr="003D0B44" w:rsidRDefault="00391BA8" w:rsidP="00391BA8">
      <w:pPr>
        <w:widowControl w:val="0"/>
        <w:numPr>
          <w:ilvl w:val="2"/>
          <w:numId w:val="14"/>
        </w:numPr>
        <w:spacing w:after="240" w:line="240" w:lineRule="auto"/>
        <w:ind w:hanging="360"/>
        <w:rPr>
          <w:rFonts w:ascii="Times New Roman" w:hAnsi="Times New Roman" w:cs="Times New Roman"/>
          <w:sz w:val="24"/>
          <w:szCs w:val="24"/>
        </w:rPr>
      </w:pPr>
      <w:r w:rsidRPr="003D0B44">
        <w:rPr>
          <w:rFonts w:ascii="Times New Roman" w:eastAsia="Calibri" w:hAnsi="Times New Roman" w:cs="Times New Roman"/>
          <w:sz w:val="24"/>
          <w:szCs w:val="24"/>
        </w:rPr>
        <w:t>Plaintiff’s mother, Joan Porco, later joined the case as a co-Plaintiff</w:t>
      </w:r>
      <w:r w:rsidR="00915AE1" w:rsidRPr="003D0B44">
        <w:rPr>
          <w:rFonts w:ascii="Times New Roman" w:eastAsia="Calibri" w:hAnsi="Times New Roman" w:cs="Times New Roman"/>
          <w:sz w:val="24"/>
          <w:szCs w:val="24"/>
        </w:rPr>
        <w:t xml:space="preserve">. </w:t>
      </w:r>
    </w:p>
    <w:p w:rsidR="00391BA8" w:rsidRPr="003D0B44" w:rsidRDefault="00391BA8" w:rsidP="00391BA8">
      <w:pPr>
        <w:widowControl w:val="0"/>
        <w:numPr>
          <w:ilvl w:val="2"/>
          <w:numId w:val="14"/>
        </w:numPr>
        <w:spacing w:after="240" w:line="240" w:lineRule="auto"/>
        <w:ind w:hanging="360"/>
        <w:rPr>
          <w:rFonts w:ascii="Times New Roman" w:hAnsi="Times New Roman" w:cs="Times New Roman"/>
          <w:sz w:val="24"/>
          <w:szCs w:val="24"/>
        </w:rPr>
      </w:pPr>
      <w:r w:rsidRPr="003D0B44">
        <w:rPr>
          <w:rFonts w:ascii="Times New Roman" w:eastAsia="Calibri" w:hAnsi="Times New Roman" w:cs="Times New Roman"/>
          <w:sz w:val="24"/>
          <w:szCs w:val="24"/>
        </w:rPr>
        <w:t xml:space="preserve">After discovery, both sides moved for summary judgment, and the </w:t>
      </w:r>
      <w:r w:rsidR="006F2E6C" w:rsidRPr="003D0B44">
        <w:rPr>
          <w:rFonts w:ascii="Times New Roman" w:eastAsia="Calibri" w:hAnsi="Times New Roman" w:cs="Times New Roman"/>
          <w:sz w:val="24"/>
          <w:szCs w:val="24"/>
        </w:rPr>
        <w:t xml:space="preserve">Supreme Court denied both motions. </w:t>
      </w:r>
    </w:p>
    <w:p w:rsidR="00391BA8" w:rsidRPr="003D0B44" w:rsidRDefault="006F2E6C" w:rsidP="00391BA8">
      <w:pPr>
        <w:widowControl w:val="0"/>
        <w:numPr>
          <w:ilvl w:val="1"/>
          <w:numId w:val="14"/>
        </w:numPr>
        <w:spacing w:after="240" w:line="240" w:lineRule="auto"/>
        <w:rPr>
          <w:rFonts w:ascii="Times New Roman" w:hAnsi="Times New Roman" w:cs="Times New Roman"/>
          <w:sz w:val="24"/>
          <w:szCs w:val="24"/>
        </w:rPr>
      </w:pPr>
      <w:r w:rsidRPr="003D0B44">
        <w:rPr>
          <w:rFonts w:ascii="Times New Roman" w:eastAsia="Calibri" w:hAnsi="Times New Roman" w:cs="Times New Roman"/>
          <w:b/>
          <w:sz w:val="24"/>
          <w:szCs w:val="24"/>
        </w:rPr>
        <w:t xml:space="preserve">The </w:t>
      </w:r>
      <w:r w:rsidR="00391BA8" w:rsidRPr="003D0B44">
        <w:rPr>
          <w:rFonts w:ascii="Times New Roman" w:eastAsia="Calibri" w:hAnsi="Times New Roman" w:cs="Times New Roman"/>
          <w:b/>
          <w:sz w:val="24"/>
          <w:szCs w:val="24"/>
        </w:rPr>
        <w:t>Appeal &amp; R</w:t>
      </w:r>
      <w:r w:rsidRPr="003D0B44">
        <w:rPr>
          <w:rFonts w:ascii="Times New Roman" w:eastAsia="Calibri" w:hAnsi="Times New Roman" w:cs="Times New Roman"/>
          <w:b/>
          <w:sz w:val="24"/>
          <w:szCs w:val="24"/>
        </w:rPr>
        <w:t>esolution</w:t>
      </w:r>
      <w:r w:rsidR="00E60D3E" w:rsidRPr="003D0B44">
        <w:rPr>
          <w:rFonts w:ascii="Times New Roman" w:eastAsia="Calibri" w:hAnsi="Times New Roman" w:cs="Times New Roman"/>
          <w:b/>
          <w:sz w:val="24"/>
          <w:szCs w:val="24"/>
        </w:rPr>
        <w:t xml:space="preserve"> (So Far)</w:t>
      </w:r>
    </w:p>
    <w:p w:rsidR="00391BA8" w:rsidRPr="003D0B44" w:rsidRDefault="006F2E6C" w:rsidP="00391BA8">
      <w:pPr>
        <w:widowControl w:val="0"/>
        <w:numPr>
          <w:ilvl w:val="2"/>
          <w:numId w:val="14"/>
        </w:numPr>
        <w:spacing w:after="240" w:line="240" w:lineRule="auto"/>
        <w:ind w:hanging="360"/>
        <w:rPr>
          <w:rFonts w:ascii="Times New Roman" w:hAnsi="Times New Roman" w:cs="Times New Roman"/>
          <w:sz w:val="24"/>
          <w:szCs w:val="24"/>
        </w:rPr>
      </w:pPr>
      <w:r w:rsidRPr="003D0B44">
        <w:rPr>
          <w:rFonts w:ascii="Times New Roman" w:eastAsia="Calibri" w:hAnsi="Times New Roman" w:cs="Times New Roman"/>
          <w:sz w:val="24"/>
          <w:szCs w:val="24"/>
        </w:rPr>
        <w:t>On June 24, 2021, the Appellate Division reversed and dismissed the case in its entirety</w:t>
      </w:r>
      <w:r w:rsidR="00915AE1" w:rsidRPr="003D0B44">
        <w:rPr>
          <w:rFonts w:ascii="Times New Roman" w:eastAsia="Calibri" w:hAnsi="Times New Roman" w:cs="Times New Roman"/>
          <w:sz w:val="24"/>
          <w:szCs w:val="24"/>
        </w:rPr>
        <w:t xml:space="preserve">. </w:t>
      </w:r>
      <w:r w:rsidR="00391BA8" w:rsidRPr="003D0B44">
        <w:rPr>
          <w:rFonts w:ascii="Times New Roman" w:eastAsia="Calibri" w:hAnsi="Times New Roman" w:cs="Times New Roman"/>
          <w:i/>
          <w:sz w:val="24"/>
          <w:szCs w:val="24"/>
        </w:rPr>
        <w:t xml:space="preserve">See </w:t>
      </w:r>
      <w:r w:rsidR="00391BA8" w:rsidRPr="003D0B44">
        <w:rPr>
          <w:rFonts w:ascii="Times New Roman" w:hAnsi="Times New Roman" w:cs="Times New Roman"/>
          <w:i/>
          <w:sz w:val="24"/>
          <w:szCs w:val="24"/>
        </w:rPr>
        <w:t>Porco v. Lifetime Entm’t Servs.</w:t>
      </w:r>
      <w:r w:rsidR="003D0B44" w:rsidRPr="003D0B44">
        <w:rPr>
          <w:rFonts w:ascii="Times New Roman" w:hAnsi="Times New Roman" w:cs="Times New Roman"/>
          <w:i/>
          <w:sz w:val="24"/>
          <w:szCs w:val="24"/>
        </w:rPr>
        <w:t>, LLC</w:t>
      </w:r>
      <w:r w:rsidR="00391BA8" w:rsidRPr="003D0B44">
        <w:rPr>
          <w:rFonts w:ascii="Times New Roman" w:hAnsi="Times New Roman" w:cs="Times New Roman"/>
          <w:sz w:val="24"/>
          <w:szCs w:val="24"/>
        </w:rPr>
        <w:t>, 195 A.D.3d 1351, 1352 (3rd Dep’t 2021)</w:t>
      </w:r>
      <w:r w:rsidR="003D0B44">
        <w:rPr>
          <w:rFonts w:ascii="Times New Roman" w:hAnsi="Times New Roman" w:cs="Times New Roman"/>
          <w:sz w:val="24"/>
          <w:szCs w:val="24"/>
        </w:rPr>
        <w:t>.</w:t>
      </w:r>
    </w:p>
    <w:p w:rsidR="00391BA8" w:rsidRPr="003D0B44" w:rsidRDefault="006F2E6C" w:rsidP="00391BA8">
      <w:pPr>
        <w:widowControl w:val="0"/>
        <w:numPr>
          <w:ilvl w:val="2"/>
          <w:numId w:val="14"/>
        </w:numPr>
        <w:spacing w:after="240" w:line="240" w:lineRule="auto"/>
        <w:ind w:hanging="360"/>
        <w:rPr>
          <w:rFonts w:ascii="Times New Roman" w:hAnsi="Times New Roman" w:cs="Times New Roman"/>
          <w:sz w:val="24"/>
          <w:szCs w:val="24"/>
        </w:rPr>
      </w:pPr>
      <w:r w:rsidRPr="003D0B44">
        <w:rPr>
          <w:rFonts w:ascii="Times New Roman" w:eastAsia="Calibri" w:hAnsi="Times New Roman" w:cs="Times New Roman"/>
          <w:sz w:val="24"/>
          <w:szCs w:val="24"/>
        </w:rPr>
        <w:t>Lifetime’s main argument was that its docudrama fit under the longstanding exception for “newsworthiness”</w:t>
      </w:r>
      <w:r w:rsidR="00391BA8" w:rsidRPr="003D0B44">
        <w:rPr>
          <w:rFonts w:ascii="Times New Roman" w:eastAsia="Calibri" w:hAnsi="Times New Roman" w:cs="Times New Roman"/>
          <w:sz w:val="24"/>
          <w:szCs w:val="24"/>
        </w:rPr>
        <w:t xml:space="preserve">—that is, that Section 50/51 do not </w:t>
      </w:r>
      <w:r w:rsidRPr="003D0B44">
        <w:rPr>
          <w:rFonts w:ascii="Times New Roman" w:eastAsia="Calibri" w:hAnsi="Times New Roman" w:cs="Times New Roman"/>
          <w:sz w:val="24"/>
          <w:szCs w:val="24"/>
        </w:rPr>
        <w:t xml:space="preserve">apply to </w:t>
      </w:r>
      <w:r w:rsidRPr="00C60960">
        <w:rPr>
          <w:rFonts w:ascii="Times New Roman" w:eastAsia="Calibri" w:hAnsi="Times New Roman" w:cs="Times New Roman"/>
          <w:sz w:val="24"/>
          <w:szCs w:val="24"/>
          <w:shd w:val="clear" w:color="auto" w:fill="FFFFFF"/>
        </w:rPr>
        <w:t>“reports of newsworthy events or matters of public interest</w:t>
      </w:r>
      <w:r w:rsidR="00391BA8" w:rsidRPr="00C60960">
        <w:rPr>
          <w:rFonts w:ascii="Times New Roman" w:eastAsia="Calibri" w:hAnsi="Times New Roman" w:cs="Times New Roman"/>
          <w:sz w:val="24"/>
          <w:szCs w:val="24"/>
          <w:shd w:val="clear" w:color="auto" w:fill="FFFFFF"/>
        </w:rPr>
        <w:t>.</w:t>
      </w:r>
      <w:r w:rsidRPr="00C60960">
        <w:rPr>
          <w:rFonts w:ascii="Times New Roman" w:eastAsia="Calibri" w:hAnsi="Times New Roman" w:cs="Times New Roman"/>
          <w:sz w:val="24"/>
          <w:szCs w:val="24"/>
          <w:shd w:val="clear" w:color="auto" w:fill="FFFFFF"/>
        </w:rPr>
        <w:t>”</w:t>
      </w:r>
      <w:r w:rsidR="00391BA8" w:rsidRPr="00C60960">
        <w:rPr>
          <w:rFonts w:ascii="Times New Roman" w:eastAsia="Calibri" w:hAnsi="Times New Roman" w:cs="Times New Roman"/>
          <w:sz w:val="24"/>
          <w:szCs w:val="24"/>
          <w:shd w:val="clear" w:color="auto" w:fill="FFFFFF"/>
        </w:rPr>
        <w:t xml:space="preserve"> </w:t>
      </w:r>
      <w:r w:rsidRPr="003D0B44">
        <w:rPr>
          <w:rFonts w:ascii="Times New Roman" w:eastAsia="Calibri" w:hAnsi="Times New Roman" w:cs="Times New Roman"/>
          <w:sz w:val="24"/>
          <w:szCs w:val="24"/>
        </w:rPr>
        <w:t xml:space="preserve"> </w:t>
      </w:r>
    </w:p>
    <w:p w:rsidR="00391BA8" w:rsidRPr="003D0B44" w:rsidRDefault="00391BA8" w:rsidP="00391BA8">
      <w:pPr>
        <w:widowControl w:val="0"/>
        <w:numPr>
          <w:ilvl w:val="2"/>
          <w:numId w:val="14"/>
        </w:numPr>
        <w:spacing w:after="240" w:line="240" w:lineRule="auto"/>
        <w:ind w:hanging="360"/>
        <w:rPr>
          <w:rFonts w:ascii="Times New Roman" w:hAnsi="Times New Roman" w:cs="Times New Roman"/>
          <w:sz w:val="24"/>
          <w:szCs w:val="24"/>
        </w:rPr>
      </w:pPr>
      <w:r w:rsidRPr="003D0B44">
        <w:rPr>
          <w:rFonts w:ascii="Times New Roman" w:hAnsi="Times New Roman" w:cs="Times New Roman"/>
          <w:sz w:val="24"/>
          <w:szCs w:val="24"/>
        </w:rPr>
        <w:t>The newsworthiness exception is limited, in turn, by</w:t>
      </w:r>
      <w:r w:rsidR="006F2E6C" w:rsidRPr="003D0B44">
        <w:rPr>
          <w:rFonts w:ascii="Times New Roman" w:eastAsia="Calibri" w:hAnsi="Times New Roman" w:cs="Times New Roman"/>
          <w:sz w:val="24"/>
          <w:szCs w:val="24"/>
        </w:rPr>
        <w:t xml:space="preserve"> the </w:t>
      </w:r>
      <w:r w:rsidR="006F2E6C" w:rsidRPr="003D0B44">
        <w:rPr>
          <w:rFonts w:ascii="Times New Roman" w:eastAsia="Calibri" w:hAnsi="Times New Roman" w:cs="Times New Roman"/>
          <w:i/>
          <w:sz w:val="24"/>
          <w:szCs w:val="24"/>
        </w:rPr>
        <w:t>Binns/Spahn</w:t>
      </w:r>
      <w:r w:rsidR="006F2E6C" w:rsidRPr="003D0B44">
        <w:rPr>
          <w:rFonts w:ascii="Times New Roman" w:eastAsia="Calibri" w:hAnsi="Times New Roman" w:cs="Times New Roman"/>
          <w:sz w:val="24"/>
          <w:szCs w:val="24"/>
        </w:rPr>
        <w:t xml:space="preserve"> exception, which applies where the work consists of a “materially and substantially fictitious biography where a knowing fictionalization amounts to an all-pervasive use of imaginary incidents,” culminating in “a biography that is nothing more than an attempt to trade on the persona of the plaintiff.”</w:t>
      </w:r>
    </w:p>
    <w:p w:rsidR="00391BA8" w:rsidRPr="003D0B44" w:rsidRDefault="00391BA8" w:rsidP="00391BA8">
      <w:pPr>
        <w:widowControl w:val="0"/>
        <w:numPr>
          <w:ilvl w:val="2"/>
          <w:numId w:val="14"/>
        </w:numPr>
        <w:spacing w:after="240" w:line="240" w:lineRule="auto"/>
        <w:ind w:hanging="360"/>
        <w:rPr>
          <w:rFonts w:ascii="Times New Roman" w:hAnsi="Times New Roman" w:cs="Times New Roman"/>
          <w:sz w:val="24"/>
          <w:szCs w:val="24"/>
        </w:rPr>
      </w:pPr>
      <w:r w:rsidRPr="003D0B44">
        <w:rPr>
          <w:rFonts w:ascii="Times New Roman" w:eastAsia="Calibri" w:hAnsi="Times New Roman" w:cs="Times New Roman"/>
          <w:sz w:val="24"/>
          <w:szCs w:val="24"/>
        </w:rPr>
        <w:t>The Appellate Division</w:t>
      </w:r>
      <w:r w:rsidR="006F2E6C" w:rsidRPr="003D0B44">
        <w:rPr>
          <w:rFonts w:ascii="Times New Roman" w:eastAsia="Calibri" w:hAnsi="Times New Roman" w:cs="Times New Roman"/>
          <w:sz w:val="24"/>
          <w:szCs w:val="24"/>
        </w:rPr>
        <w:t xml:space="preserve"> discussed</w:t>
      </w:r>
      <w:r w:rsidRPr="003D0B44">
        <w:rPr>
          <w:rFonts w:ascii="Times New Roman" w:eastAsia="Calibri" w:hAnsi="Times New Roman" w:cs="Times New Roman"/>
          <w:sz w:val="24"/>
          <w:szCs w:val="24"/>
        </w:rPr>
        <w:t xml:space="preserve"> the </w:t>
      </w:r>
      <w:r w:rsidR="006F2E6C" w:rsidRPr="003D0B44">
        <w:rPr>
          <w:rFonts w:ascii="Times New Roman" w:eastAsia="Calibri" w:hAnsi="Times New Roman" w:cs="Times New Roman"/>
          <w:sz w:val="24"/>
          <w:szCs w:val="24"/>
        </w:rPr>
        <w:t>nature of docudramas, “</w:t>
      </w:r>
      <w:r w:rsidR="006F2E6C" w:rsidRPr="00C60960">
        <w:rPr>
          <w:rFonts w:ascii="Times New Roman" w:eastAsia="Calibri" w:hAnsi="Times New Roman" w:cs="Times New Roman"/>
          <w:sz w:val="24"/>
          <w:szCs w:val="24"/>
          <w:shd w:val="clear" w:color="auto" w:fill="FFFFFF"/>
        </w:rPr>
        <w:t>a genre that ‘deal[s] freely with historical events[,] especially of a recent and controversial nature’ by crafting a dramatic presentation that could, in theory, mislead the viewer into believing that it was entirely accurate.”</w:t>
      </w:r>
    </w:p>
    <w:p w:rsidR="00391BA8" w:rsidRPr="003D0B44" w:rsidRDefault="00391BA8" w:rsidP="00391BA8">
      <w:pPr>
        <w:widowControl w:val="0"/>
        <w:numPr>
          <w:ilvl w:val="2"/>
          <w:numId w:val="14"/>
        </w:numPr>
        <w:spacing w:after="240" w:line="240" w:lineRule="auto"/>
        <w:ind w:hanging="360"/>
        <w:rPr>
          <w:rFonts w:ascii="Times New Roman" w:hAnsi="Times New Roman" w:cs="Times New Roman"/>
          <w:sz w:val="24"/>
          <w:szCs w:val="24"/>
        </w:rPr>
      </w:pPr>
      <w:r w:rsidRPr="003D0B44">
        <w:rPr>
          <w:rFonts w:ascii="Times New Roman" w:hAnsi="Times New Roman" w:cs="Times New Roman"/>
          <w:sz w:val="24"/>
          <w:szCs w:val="24"/>
        </w:rPr>
        <w:t xml:space="preserve">The </w:t>
      </w:r>
      <w:r w:rsidR="006F2E6C" w:rsidRPr="00C60960">
        <w:rPr>
          <w:rFonts w:ascii="Times New Roman" w:eastAsia="Calibri" w:hAnsi="Times New Roman" w:cs="Times New Roman"/>
          <w:sz w:val="24"/>
          <w:szCs w:val="24"/>
          <w:shd w:val="clear" w:color="auto" w:fill="FFFFFF"/>
        </w:rPr>
        <w:t xml:space="preserve">Court </w:t>
      </w:r>
      <w:r w:rsidRPr="00C60960">
        <w:rPr>
          <w:rFonts w:ascii="Times New Roman" w:eastAsia="Calibri" w:hAnsi="Times New Roman" w:cs="Times New Roman"/>
          <w:sz w:val="24"/>
          <w:szCs w:val="24"/>
          <w:shd w:val="clear" w:color="auto" w:fill="FFFFFF"/>
        </w:rPr>
        <w:t>ruled</w:t>
      </w:r>
      <w:r w:rsidR="006F2E6C" w:rsidRPr="00C60960">
        <w:rPr>
          <w:rFonts w:ascii="Times New Roman" w:eastAsia="Calibri" w:hAnsi="Times New Roman" w:cs="Times New Roman"/>
          <w:sz w:val="24"/>
          <w:szCs w:val="24"/>
          <w:shd w:val="clear" w:color="auto" w:fill="FFFFFF"/>
        </w:rPr>
        <w:t xml:space="preserve"> that “the sensational facts of the crime, the investigation and the trial of Christopher Porco are indisputably events of public interest, and the film therefore qualifies as newsworthy</w:t>
      </w:r>
      <w:r w:rsidRPr="00C60960">
        <w:rPr>
          <w:rFonts w:ascii="Times New Roman" w:eastAsia="Calibri" w:hAnsi="Times New Roman" w:cs="Times New Roman"/>
          <w:sz w:val="24"/>
          <w:szCs w:val="24"/>
          <w:shd w:val="clear" w:color="auto" w:fill="FFFFFF"/>
        </w:rPr>
        <w:t>,</w:t>
      </w:r>
      <w:r w:rsidR="006F2E6C" w:rsidRPr="00C60960">
        <w:rPr>
          <w:rFonts w:ascii="Times New Roman" w:eastAsia="Calibri" w:hAnsi="Times New Roman" w:cs="Times New Roman"/>
          <w:sz w:val="24"/>
          <w:szCs w:val="24"/>
          <w:shd w:val="clear" w:color="auto" w:fill="FFFFFF"/>
        </w:rPr>
        <w:t>”</w:t>
      </w:r>
      <w:r w:rsidRPr="00C60960">
        <w:rPr>
          <w:rFonts w:ascii="Times New Roman" w:eastAsia="Calibri" w:hAnsi="Times New Roman" w:cs="Times New Roman"/>
          <w:sz w:val="24"/>
          <w:szCs w:val="24"/>
          <w:shd w:val="clear" w:color="auto" w:fill="FFFFFF"/>
        </w:rPr>
        <w:t xml:space="preserve"> further explaining</w:t>
      </w:r>
      <w:r w:rsidR="002E29A2" w:rsidRPr="00C60960">
        <w:rPr>
          <w:rFonts w:ascii="Times New Roman" w:eastAsia="Calibri" w:hAnsi="Times New Roman" w:cs="Times New Roman"/>
          <w:sz w:val="24"/>
          <w:szCs w:val="24"/>
          <w:shd w:val="clear" w:color="auto" w:fill="FFFFFF"/>
        </w:rPr>
        <w:t>:</w:t>
      </w:r>
    </w:p>
    <w:p w:rsidR="00391BA8" w:rsidRPr="003D0B44" w:rsidRDefault="00391BA8" w:rsidP="00391BA8">
      <w:pPr>
        <w:widowControl w:val="0"/>
        <w:spacing w:after="240" w:line="240" w:lineRule="auto"/>
        <w:ind w:left="2160" w:right="720"/>
        <w:rPr>
          <w:rFonts w:ascii="Times New Roman" w:hAnsi="Times New Roman" w:cs="Times New Roman"/>
          <w:sz w:val="24"/>
          <w:szCs w:val="24"/>
        </w:rPr>
      </w:pPr>
      <w:r w:rsidRPr="00C60960">
        <w:rPr>
          <w:rFonts w:ascii="Times New Roman" w:eastAsia="Calibri" w:hAnsi="Times New Roman" w:cs="Times New Roman"/>
          <w:sz w:val="24"/>
          <w:szCs w:val="24"/>
          <w:shd w:val="clear" w:color="auto" w:fill="FFFFFF"/>
        </w:rPr>
        <w:t>…</w:t>
      </w:r>
      <w:r w:rsidR="006F2E6C" w:rsidRPr="00C60960">
        <w:rPr>
          <w:rFonts w:ascii="Times New Roman" w:eastAsia="Calibri" w:hAnsi="Times New Roman" w:cs="Times New Roman"/>
          <w:sz w:val="24"/>
          <w:szCs w:val="24"/>
          <w:shd w:val="clear" w:color="auto" w:fill="FFFFFF"/>
        </w:rPr>
        <w:t>the film is a dramatization that at times departed from actual events, including by recreating dialogue and scenes, using techniques such as flashbacks and staged interviews, giving fictional names to some individuals and replacing others altogether with composite characters</w:t>
      </w:r>
      <w:r w:rsidRPr="00C60960">
        <w:rPr>
          <w:rFonts w:ascii="Times New Roman" w:eastAsia="Calibri" w:hAnsi="Times New Roman" w:cs="Times New Roman"/>
          <w:sz w:val="24"/>
          <w:szCs w:val="24"/>
          <w:shd w:val="clear" w:color="auto" w:fill="FFFFFF"/>
        </w:rPr>
        <w:t>….</w:t>
      </w:r>
      <w:r w:rsidR="006F2E6C" w:rsidRPr="00C60960">
        <w:rPr>
          <w:rFonts w:ascii="Times New Roman" w:eastAsia="Calibri" w:hAnsi="Times New Roman" w:cs="Times New Roman"/>
          <w:sz w:val="24"/>
          <w:szCs w:val="24"/>
          <w:shd w:val="clear" w:color="auto" w:fill="FFFFFF"/>
        </w:rPr>
        <w:t xml:space="preserve"> The film nevertheless presents a broadly accurate depiction of the crime, the ensuing criminal investigation and the trial that are matters of public interest.</w:t>
      </w:r>
    </w:p>
    <w:p w:rsidR="00F71281" w:rsidRPr="003D0B44" w:rsidRDefault="00391BA8" w:rsidP="00F71281">
      <w:pPr>
        <w:widowControl w:val="0"/>
        <w:numPr>
          <w:ilvl w:val="2"/>
          <w:numId w:val="14"/>
        </w:numPr>
        <w:spacing w:after="240" w:line="240" w:lineRule="auto"/>
        <w:ind w:hanging="360"/>
        <w:rPr>
          <w:rFonts w:ascii="Times New Roman" w:hAnsi="Times New Roman" w:cs="Times New Roman"/>
          <w:sz w:val="24"/>
          <w:szCs w:val="24"/>
        </w:rPr>
      </w:pPr>
      <w:r w:rsidRPr="00C60960">
        <w:rPr>
          <w:rFonts w:ascii="Times New Roman" w:eastAsia="Calibri" w:hAnsi="Times New Roman" w:cs="Times New Roman"/>
          <w:sz w:val="24"/>
          <w:szCs w:val="24"/>
          <w:shd w:val="clear" w:color="auto" w:fill="FFFFFF"/>
        </w:rPr>
        <w:t>The</w:t>
      </w:r>
      <w:r w:rsidR="006F2E6C" w:rsidRPr="00C60960">
        <w:rPr>
          <w:rFonts w:ascii="Times New Roman" w:eastAsia="Calibri" w:hAnsi="Times New Roman" w:cs="Times New Roman"/>
          <w:sz w:val="24"/>
          <w:szCs w:val="24"/>
          <w:shd w:val="clear" w:color="auto" w:fill="FFFFFF"/>
        </w:rPr>
        <w:t xml:space="preserve"> disclaimers at the beginning and end of the movie </w:t>
      </w:r>
      <w:r w:rsidRPr="00C60960">
        <w:rPr>
          <w:rFonts w:ascii="Times New Roman" w:eastAsia="Calibri" w:hAnsi="Times New Roman" w:cs="Times New Roman"/>
          <w:sz w:val="24"/>
          <w:szCs w:val="24"/>
          <w:shd w:val="clear" w:color="auto" w:fill="FFFFFF"/>
        </w:rPr>
        <w:t xml:space="preserve">also </w:t>
      </w:r>
      <w:r w:rsidR="006F2E6C" w:rsidRPr="00C60960">
        <w:rPr>
          <w:rFonts w:ascii="Times New Roman" w:eastAsia="Calibri" w:hAnsi="Times New Roman" w:cs="Times New Roman"/>
          <w:sz w:val="24"/>
          <w:szCs w:val="24"/>
          <w:shd w:val="clear" w:color="auto" w:fill="FFFFFF"/>
        </w:rPr>
        <w:t>played an important role</w:t>
      </w:r>
      <w:r w:rsidR="00915AE1" w:rsidRPr="00C60960">
        <w:rPr>
          <w:rFonts w:ascii="Times New Roman" w:eastAsia="Calibri" w:hAnsi="Times New Roman" w:cs="Times New Roman"/>
          <w:sz w:val="24"/>
          <w:szCs w:val="24"/>
          <w:shd w:val="clear" w:color="auto" w:fill="FFFFFF"/>
        </w:rPr>
        <w:t xml:space="preserve">. </w:t>
      </w:r>
      <w:r w:rsidRPr="00C60960">
        <w:rPr>
          <w:rFonts w:ascii="Times New Roman" w:eastAsia="Calibri" w:hAnsi="Times New Roman" w:cs="Times New Roman"/>
          <w:sz w:val="24"/>
          <w:szCs w:val="24"/>
          <w:shd w:val="clear" w:color="auto" w:fill="FFFFFF"/>
        </w:rPr>
        <w:t xml:space="preserve">As the Court explained, </w:t>
      </w:r>
      <w:r w:rsidR="006F2E6C" w:rsidRPr="00C60960">
        <w:rPr>
          <w:rFonts w:ascii="Times New Roman" w:eastAsia="Calibri" w:hAnsi="Times New Roman" w:cs="Times New Roman"/>
          <w:sz w:val="24"/>
          <w:szCs w:val="24"/>
          <w:shd w:val="clear" w:color="auto" w:fill="FFFFFF"/>
        </w:rPr>
        <w:t>“the film makes no effort to present itself as unalloyed truth or claim that its depiction of plaintiffs was entirely accurate, instead alerting the viewer at the outset that it is only ‘[b]ased on a true story’ and reiterating at the end that it is ‘a dramatization’ in which “some names have been changed, some characters are composites and certain other characters and events have been fictionalized.’”</w:t>
      </w:r>
    </w:p>
    <w:p w:rsidR="00E60D3E" w:rsidRPr="003D0B44" w:rsidRDefault="00E60D3E" w:rsidP="00E60D3E">
      <w:pPr>
        <w:widowControl w:val="0"/>
        <w:numPr>
          <w:ilvl w:val="1"/>
          <w:numId w:val="14"/>
        </w:numPr>
        <w:spacing w:after="240" w:line="240" w:lineRule="auto"/>
        <w:rPr>
          <w:rFonts w:ascii="Times New Roman" w:hAnsi="Times New Roman" w:cs="Times New Roman"/>
          <w:b/>
          <w:sz w:val="24"/>
          <w:szCs w:val="24"/>
        </w:rPr>
      </w:pPr>
      <w:r w:rsidRPr="00C60960">
        <w:rPr>
          <w:rFonts w:ascii="Times New Roman" w:eastAsia="Calibri" w:hAnsi="Times New Roman" w:cs="Times New Roman"/>
          <w:b/>
          <w:sz w:val="24"/>
          <w:szCs w:val="24"/>
          <w:shd w:val="clear" w:color="auto" w:fill="FFFFFF"/>
        </w:rPr>
        <w:t>Current Status</w:t>
      </w:r>
      <w:r w:rsidR="00915AE1" w:rsidRPr="00C60960">
        <w:rPr>
          <w:rFonts w:ascii="Times New Roman" w:eastAsia="Calibri" w:hAnsi="Times New Roman" w:cs="Times New Roman"/>
          <w:b/>
          <w:sz w:val="24"/>
          <w:szCs w:val="24"/>
          <w:shd w:val="clear" w:color="auto" w:fill="FFFFFF"/>
        </w:rPr>
        <w:t xml:space="preserve">. </w:t>
      </w:r>
      <w:r w:rsidRPr="00C60960">
        <w:rPr>
          <w:rFonts w:ascii="Times New Roman" w:eastAsia="Calibri" w:hAnsi="Times New Roman" w:cs="Times New Roman"/>
          <w:sz w:val="24"/>
          <w:szCs w:val="24"/>
          <w:shd w:val="clear" w:color="auto" w:fill="FFFFFF"/>
        </w:rPr>
        <w:t>Plaintiffs filed a notice of appeal as of right to the Court of Appeals on the theory that the Third Department’s decision “directly involved the construction of the constitution” under CPLR 5601(b)(1)</w:t>
      </w:r>
      <w:r w:rsidR="00915AE1" w:rsidRPr="00C60960">
        <w:rPr>
          <w:rFonts w:ascii="Times New Roman" w:eastAsia="Calibri" w:hAnsi="Times New Roman" w:cs="Times New Roman"/>
          <w:sz w:val="24"/>
          <w:szCs w:val="24"/>
          <w:shd w:val="clear" w:color="auto" w:fill="FFFFFF"/>
        </w:rPr>
        <w:t xml:space="preserve">. </w:t>
      </w:r>
      <w:r w:rsidRPr="00C60960">
        <w:rPr>
          <w:rFonts w:ascii="Times New Roman" w:eastAsia="Calibri" w:hAnsi="Times New Roman" w:cs="Times New Roman"/>
          <w:sz w:val="24"/>
          <w:szCs w:val="24"/>
          <w:shd w:val="clear" w:color="auto" w:fill="FFFFFF"/>
        </w:rPr>
        <w:t>The Court is now examining its jurisdiction, and both sides filed letters in late August arguing their positions on this issue</w:t>
      </w:r>
      <w:r w:rsidR="00915AE1" w:rsidRPr="00C60960">
        <w:rPr>
          <w:rFonts w:ascii="Times New Roman" w:eastAsia="Calibri" w:hAnsi="Times New Roman" w:cs="Times New Roman"/>
          <w:sz w:val="24"/>
          <w:szCs w:val="24"/>
          <w:shd w:val="clear" w:color="auto" w:fill="FFFFFF"/>
        </w:rPr>
        <w:t xml:space="preserve">. </w:t>
      </w:r>
      <w:r w:rsidRPr="00C60960">
        <w:rPr>
          <w:rFonts w:ascii="Times New Roman" w:eastAsia="Calibri" w:hAnsi="Times New Roman" w:cs="Times New Roman"/>
          <w:sz w:val="24"/>
          <w:szCs w:val="24"/>
          <w:shd w:val="clear" w:color="auto" w:fill="FFFFFF"/>
        </w:rPr>
        <w:t>Lifetime’s view is that there is no appeal as of right because the Third Department ruled on statutory grounds only and did not need to reach the First Amendment issue directly</w:t>
      </w:r>
      <w:r w:rsidR="00915AE1" w:rsidRPr="00C60960">
        <w:rPr>
          <w:rFonts w:ascii="Times New Roman" w:eastAsia="Calibri" w:hAnsi="Times New Roman" w:cs="Times New Roman"/>
          <w:sz w:val="24"/>
          <w:szCs w:val="24"/>
          <w:shd w:val="clear" w:color="auto" w:fill="FFFFFF"/>
        </w:rPr>
        <w:t xml:space="preserve">. </w:t>
      </w:r>
    </w:p>
    <w:p w:rsidR="00506B68" w:rsidRPr="003D0B44" w:rsidRDefault="00F71281" w:rsidP="00F71281">
      <w:pPr>
        <w:widowControl w:val="0"/>
        <w:numPr>
          <w:ilvl w:val="1"/>
          <w:numId w:val="14"/>
        </w:numPr>
        <w:spacing w:after="240" w:line="240" w:lineRule="auto"/>
        <w:rPr>
          <w:rFonts w:ascii="Times New Roman" w:hAnsi="Times New Roman" w:cs="Times New Roman"/>
          <w:sz w:val="24"/>
          <w:szCs w:val="24"/>
        </w:rPr>
      </w:pPr>
      <w:r w:rsidRPr="00C60960">
        <w:rPr>
          <w:rFonts w:ascii="Times New Roman" w:eastAsia="Calibri" w:hAnsi="Times New Roman" w:cs="Times New Roman"/>
          <w:b/>
          <w:sz w:val="24"/>
          <w:szCs w:val="24"/>
          <w:shd w:val="clear" w:color="auto" w:fill="FFFFFF"/>
        </w:rPr>
        <w:t>Upshot</w:t>
      </w:r>
      <w:r w:rsidR="00915AE1" w:rsidRPr="00C60960">
        <w:rPr>
          <w:rFonts w:ascii="Times New Roman" w:eastAsia="Calibri" w:hAnsi="Times New Roman" w:cs="Times New Roman"/>
          <w:b/>
          <w:sz w:val="24"/>
          <w:szCs w:val="24"/>
          <w:shd w:val="clear" w:color="auto" w:fill="FFFFFF"/>
        </w:rPr>
        <w:t xml:space="preserve">. </w:t>
      </w:r>
      <w:r w:rsidRPr="00C60960">
        <w:rPr>
          <w:rFonts w:ascii="Times New Roman" w:eastAsia="Calibri" w:hAnsi="Times New Roman" w:cs="Times New Roman"/>
          <w:sz w:val="24"/>
          <w:szCs w:val="24"/>
          <w:shd w:val="clear" w:color="auto" w:fill="FFFFFF"/>
        </w:rPr>
        <w:t xml:space="preserve">New York retains its </w:t>
      </w:r>
      <w:r w:rsidR="006F2E6C" w:rsidRPr="00C60960">
        <w:rPr>
          <w:rFonts w:ascii="Times New Roman" w:eastAsia="Calibri" w:hAnsi="Times New Roman" w:cs="Times New Roman"/>
          <w:sz w:val="24"/>
          <w:szCs w:val="24"/>
          <w:shd w:val="clear" w:color="auto" w:fill="FFFFFF"/>
        </w:rPr>
        <w:t>strong protection for docudramas and similar works, especially if producers make clear that the work contains fictionalized elements and is not meant to be taken 100% literally</w:t>
      </w:r>
      <w:r w:rsidR="00915AE1" w:rsidRPr="00C60960">
        <w:rPr>
          <w:rFonts w:ascii="Times New Roman" w:eastAsia="Calibri" w:hAnsi="Times New Roman" w:cs="Times New Roman"/>
          <w:sz w:val="24"/>
          <w:szCs w:val="24"/>
          <w:shd w:val="clear" w:color="auto" w:fill="FFFFFF"/>
        </w:rPr>
        <w:t xml:space="preserve">. </w:t>
      </w:r>
      <w:r w:rsidR="006F2E6C" w:rsidRPr="00C60960">
        <w:rPr>
          <w:rFonts w:ascii="Times New Roman" w:eastAsia="Calibri" w:hAnsi="Times New Roman" w:cs="Times New Roman"/>
          <w:b/>
          <w:sz w:val="24"/>
          <w:szCs w:val="24"/>
          <w:u w:val="single"/>
          <w:shd w:val="clear" w:color="auto" w:fill="FFFFFF"/>
        </w:rPr>
        <w:t>Disclaimers matter</w:t>
      </w:r>
      <w:r w:rsidR="006F2E6C" w:rsidRPr="00C60960">
        <w:rPr>
          <w:rFonts w:ascii="Times New Roman" w:eastAsia="Calibri" w:hAnsi="Times New Roman" w:cs="Times New Roman"/>
          <w:sz w:val="24"/>
          <w:szCs w:val="24"/>
          <w:shd w:val="clear" w:color="auto" w:fill="FFFFFF"/>
        </w:rPr>
        <w:t>.</w:t>
      </w:r>
      <w:r w:rsidR="00506B68" w:rsidRPr="003D0B44">
        <w:rPr>
          <w:rFonts w:ascii="Times New Roman" w:hAnsi="Times New Roman" w:cs="Times New Roman"/>
          <w:i/>
          <w:sz w:val="24"/>
          <w:szCs w:val="24"/>
        </w:rPr>
        <w:t xml:space="preserve"> </w:t>
      </w:r>
    </w:p>
    <w:p w:rsidR="00B73D47" w:rsidRPr="003D0B44" w:rsidRDefault="00B73D47" w:rsidP="00FD322C">
      <w:pPr>
        <w:spacing w:after="240" w:line="240" w:lineRule="auto"/>
        <w:rPr>
          <w:rFonts w:ascii="Times New Roman" w:hAnsi="Times New Roman" w:cs="Times New Roman"/>
          <w:sz w:val="24"/>
          <w:szCs w:val="24"/>
        </w:rPr>
      </w:pPr>
    </w:p>
    <w:p w:rsidR="00B73D47" w:rsidRPr="003D0B44" w:rsidRDefault="00B73D47" w:rsidP="00C60960">
      <w:pPr>
        <w:pStyle w:val="00BodyText1"/>
        <w:numPr>
          <w:ilvl w:val="0"/>
          <w:numId w:val="14"/>
        </w:numPr>
        <w:ind w:right="2880"/>
        <w:rPr>
          <w:rFonts w:cs="Times New Roman"/>
          <w:b/>
          <w:sz w:val="28"/>
          <w:szCs w:val="28"/>
          <w:u w:val="single"/>
        </w:rPr>
      </w:pPr>
      <w:r w:rsidRPr="00C60960">
        <w:rPr>
          <w:rFonts w:cs="Times New Roman"/>
          <w:b/>
          <w:i/>
          <w:sz w:val="28"/>
          <w:szCs w:val="28"/>
        </w:rPr>
        <w:t>Carter v. Mannion</w:t>
      </w:r>
      <w:r w:rsidRPr="00C60960">
        <w:rPr>
          <w:rFonts w:cs="Times New Roman"/>
          <w:b/>
          <w:sz w:val="28"/>
          <w:szCs w:val="28"/>
        </w:rPr>
        <w:t xml:space="preserve">, </w:t>
      </w:r>
      <w:r w:rsidR="003D0B44" w:rsidRPr="00C60960">
        <w:rPr>
          <w:rFonts w:cs="Times New Roman"/>
          <w:b/>
          <w:sz w:val="28"/>
          <w:szCs w:val="28"/>
        </w:rPr>
        <w:t>No. 2:21-</w:t>
      </w:r>
      <w:r w:rsidRPr="00C60960">
        <w:rPr>
          <w:rFonts w:cs="Times New Roman"/>
          <w:b/>
          <w:sz w:val="28"/>
          <w:szCs w:val="28"/>
        </w:rPr>
        <w:t>CV-04848-PA- KSx</w:t>
      </w:r>
      <w:r w:rsidRPr="003D0B44">
        <w:rPr>
          <w:rFonts w:cs="Times New Roman"/>
          <w:b/>
          <w:sz w:val="28"/>
          <w:szCs w:val="28"/>
          <w:u w:val="single"/>
        </w:rPr>
        <w:t xml:space="preserve"> (C.D. Cal</w:t>
      </w:r>
      <w:r w:rsidR="003D0B44">
        <w:rPr>
          <w:rFonts w:cs="Times New Roman"/>
          <w:b/>
          <w:sz w:val="28"/>
          <w:szCs w:val="28"/>
          <w:u w:val="single"/>
        </w:rPr>
        <w:t>., filed June 15, 2021</w:t>
      </w:r>
      <w:r w:rsidRPr="003D0B44">
        <w:rPr>
          <w:rFonts w:cs="Times New Roman"/>
          <w:b/>
          <w:sz w:val="28"/>
          <w:szCs w:val="28"/>
          <w:u w:val="single"/>
        </w:rPr>
        <w:t xml:space="preserve">) </w:t>
      </w:r>
    </w:p>
    <w:p w:rsidR="00B73D47" w:rsidRPr="003D0B44" w:rsidRDefault="00B73D47" w:rsidP="00FD322C">
      <w:pPr>
        <w:pStyle w:val="00BodyText1"/>
        <w:numPr>
          <w:ilvl w:val="1"/>
          <w:numId w:val="14"/>
        </w:numPr>
        <w:rPr>
          <w:rFonts w:cs="Times New Roman"/>
          <w:b/>
          <w:u w:val="single"/>
        </w:rPr>
      </w:pPr>
      <w:r w:rsidRPr="003D0B44">
        <w:rPr>
          <w:rFonts w:cs="Times New Roman"/>
          <w:b/>
        </w:rPr>
        <w:t>Overview</w:t>
      </w:r>
      <w:r w:rsidR="00915AE1" w:rsidRPr="003D0B44">
        <w:rPr>
          <w:rFonts w:cs="Times New Roman"/>
          <w:b/>
        </w:rPr>
        <w:t xml:space="preserve">. </w:t>
      </w:r>
      <w:r w:rsidRPr="003D0B44">
        <w:rPr>
          <w:rFonts w:cs="Times New Roman"/>
        </w:rPr>
        <w:t xml:space="preserve">Jay-Z—rapper, mogul, and Beyoncé’s husband—brought a common law right of publicity claim against photographer Jonathan Mannion, whom Jay-Z had hired to photograph him in 1996, when Jay-Z’s career was in its early days. </w:t>
      </w:r>
    </w:p>
    <w:p w:rsidR="00B73D47" w:rsidRPr="003D0B44" w:rsidRDefault="00B73D47" w:rsidP="00FD322C">
      <w:pPr>
        <w:pStyle w:val="00BodyText1"/>
        <w:numPr>
          <w:ilvl w:val="1"/>
          <w:numId w:val="14"/>
        </w:numPr>
        <w:rPr>
          <w:rFonts w:cs="Times New Roman"/>
          <w:b/>
          <w:u w:val="single"/>
        </w:rPr>
      </w:pPr>
      <w:r w:rsidRPr="003D0B44">
        <w:rPr>
          <w:rFonts w:cs="Times New Roman"/>
          <w:b/>
        </w:rPr>
        <w:t>Claims</w:t>
      </w:r>
      <w:r w:rsidR="00915AE1" w:rsidRPr="003D0B44">
        <w:rPr>
          <w:rFonts w:cs="Times New Roman"/>
          <w:b/>
        </w:rPr>
        <w:t xml:space="preserve">. </w:t>
      </w:r>
      <w:r w:rsidRPr="003D0B44">
        <w:rPr>
          <w:rFonts w:cs="Times New Roman"/>
        </w:rPr>
        <w:t>Jay-Z claims that Mannion has “developed a highly profitable business” by continuing to sell copies of photos of Jay-Z on his website and in his retail store without his consent, long after they worked together. He also claims that Mannion is improperly licensing his image and selling products that use his likeness, without permission</w:t>
      </w:r>
      <w:r w:rsidR="00915AE1" w:rsidRPr="003D0B44">
        <w:rPr>
          <w:rFonts w:cs="Times New Roman"/>
        </w:rPr>
        <w:t xml:space="preserve">. </w:t>
      </w:r>
      <w:r w:rsidRPr="003D0B44">
        <w:rPr>
          <w:rFonts w:cs="Times New Roman"/>
        </w:rPr>
        <w:t>Jay-Z sought compensatory damages and punitive damages, plus a preliminary and a permanent injunction.</w:t>
      </w:r>
    </w:p>
    <w:p w:rsidR="00B73D47" w:rsidRPr="003D0B44" w:rsidRDefault="00B73D47" w:rsidP="00FD322C">
      <w:pPr>
        <w:pStyle w:val="00BodyText1"/>
        <w:numPr>
          <w:ilvl w:val="1"/>
          <w:numId w:val="14"/>
        </w:numPr>
        <w:rPr>
          <w:rFonts w:cs="Times New Roman"/>
          <w:b/>
          <w:u w:val="single"/>
        </w:rPr>
      </w:pPr>
      <w:r w:rsidRPr="003D0B44">
        <w:rPr>
          <w:rFonts w:cs="Times New Roman"/>
          <w:b/>
        </w:rPr>
        <w:t>Defenses</w:t>
      </w:r>
      <w:r w:rsidR="00915AE1" w:rsidRPr="003D0B44">
        <w:rPr>
          <w:rFonts w:cs="Times New Roman"/>
          <w:b/>
        </w:rPr>
        <w:t xml:space="preserve">. </w:t>
      </w:r>
      <w:r w:rsidRPr="003D0B44">
        <w:rPr>
          <w:rFonts w:cs="Times New Roman"/>
        </w:rPr>
        <w:t>Mannion responded with a motion to dismiss and to strike pursuant to California’s Anti-SLAPP law</w:t>
      </w:r>
      <w:r w:rsidR="00915AE1" w:rsidRPr="003D0B44">
        <w:rPr>
          <w:rFonts w:cs="Times New Roman"/>
        </w:rPr>
        <w:t xml:space="preserve">. </w:t>
      </w:r>
      <w:r w:rsidRPr="003D0B44">
        <w:rPr>
          <w:rFonts w:cs="Times New Roman"/>
        </w:rPr>
        <w:t>He emphasized that a victory for Jay-Z would jeopardize the output of any photographer whose work captures the likeness of celebrity clients. His primary arguments were:</w:t>
      </w:r>
    </w:p>
    <w:p w:rsidR="00B73D47" w:rsidRPr="003D0B44" w:rsidRDefault="00B73D47" w:rsidP="00FD322C">
      <w:pPr>
        <w:pStyle w:val="00BodyText1"/>
        <w:numPr>
          <w:ilvl w:val="2"/>
          <w:numId w:val="14"/>
        </w:numPr>
        <w:ind w:hanging="360"/>
        <w:rPr>
          <w:rFonts w:cs="Times New Roman"/>
          <w:u w:val="single"/>
        </w:rPr>
      </w:pPr>
      <w:r w:rsidRPr="003D0B44">
        <w:rPr>
          <w:rFonts w:cs="Times New Roman"/>
        </w:rPr>
        <w:t xml:space="preserve">That he owns the copyright to the photos because he took them, and Jay-Z’s ROP claims are preempted by the Copyright Act because Mannion retains the rights to reproduce, distribute, and create derivative works stemming from his photos. </w:t>
      </w:r>
    </w:p>
    <w:p w:rsidR="00B73D47" w:rsidRPr="003D0B44" w:rsidRDefault="00B73D47" w:rsidP="00FD322C">
      <w:pPr>
        <w:pStyle w:val="00BodyText1"/>
        <w:numPr>
          <w:ilvl w:val="2"/>
          <w:numId w:val="14"/>
        </w:numPr>
        <w:ind w:hanging="360"/>
        <w:rPr>
          <w:rFonts w:cs="Times New Roman"/>
          <w:u w:val="single"/>
        </w:rPr>
      </w:pPr>
      <w:r w:rsidRPr="003D0B44">
        <w:rPr>
          <w:rFonts w:cs="Times New Roman"/>
        </w:rPr>
        <w:t xml:space="preserve">That the ROP claim was preempted by the First Amendment. </w:t>
      </w:r>
    </w:p>
    <w:p w:rsidR="00B73D47" w:rsidRPr="003D0B44" w:rsidRDefault="00B73D47" w:rsidP="00FD322C">
      <w:pPr>
        <w:pStyle w:val="00BodyText1"/>
        <w:numPr>
          <w:ilvl w:val="3"/>
          <w:numId w:val="14"/>
        </w:numPr>
        <w:rPr>
          <w:rFonts w:cs="Times New Roman"/>
          <w:u w:val="single"/>
        </w:rPr>
      </w:pPr>
      <w:r w:rsidRPr="003D0B44">
        <w:rPr>
          <w:rFonts w:cs="Times New Roman"/>
        </w:rPr>
        <w:t xml:space="preserve">Under California law, an artist can raise an affirmative defense that the work is “protected by the First Amendment inasmuch as it contains significant transformative elements” or “the value of the work does not derive primarily from the celebrity’s fame.” </w:t>
      </w:r>
      <w:r w:rsidRPr="003D0B44">
        <w:rPr>
          <w:rFonts w:cs="Times New Roman"/>
          <w:i/>
        </w:rPr>
        <w:t xml:space="preserve">See </w:t>
      </w:r>
      <w:r w:rsidRPr="003D0B44">
        <w:rPr>
          <w:rFonts w:cs="Times New Roman"/>
        </w:rPr>
        <w:t>Mot</w:t>
      </w:r>
      <w:r w:rsidR="003D0B44">
        <w:rPr>
          <w:rFonts w:cs="Times New Roman"/>
        </w:rPr>
        <w:t>.</w:t>
      </w:r>
      <w:r w:rsidRPr="003D0B44">
        <w:rPr>
          <w:rFonts w:cs="Times New Roman"/>
        </w:rPr>
        <w:t xml:space="preserve"> to Dismiss at 19</w:t>
      </w:r>
      <w:r w:rsidR="003D0B44">
        <w:rPr>
          <w:rFonts w:cs="Times New Roman"/>
        </w:rPr>
        <w:t xml:space="preserve"> (Aug. 5, 2021), Dkt. 26</w:t>
      </w:r>
      <w:r w:rsidR="00915AE1" w:rsidRPr="003D0B44">
        <w:rPr>
          <w:rFonts w:cs="Times New Roman"/>
        </w:rPr>
        <w:t xml:space="preserve">. </w:t>
      </w:r>
    </w:p>
    <w:p w:rsidR="00B73D47" w:rsidRPr="003D0B44" w:rsidRDefault="00B73D47" w:rsidP="00FD322C">
      <w:pPr>
        <w:pStyle w:val="00BodyText1"/>
        <w:numPr>
          <w:ilvl w:val="3"/>
          <w:numId w:val="14"/>
        </w:numPr>
        <w:rPr>
          <w:rFonts w:cs="Times New Roman"/>
          <w:u w:val="single"/>
        </w:rPr>
      </w:pPr>
      <w:r w:rsidRPr="003D0B44">
        <w:rPr>
          <w:rFonts w:cs="Times New Roman"/>
        </w:rPr>
        <w:t>Here, Mannion claimed that he transformed the literal image of Jay-Z into a work of art of his own through his choices in composition, angles, lighting, etc</w:t>
      </w:r>
      <w:r w:rsidR="00915AE1" w:rsidRPr="003D0B44">
        <w:rPr>
          <w:rFonts w:cs="Times New Roman"/>
        </w:rPr>
        <w:t xml:space="preserve">. </w:t>
      </w:r>
      <w:r w:rsidRPr="003D0B44">
        <w:rPr>
          <w:rFonts w:cs="Times New Roman"/>
          <w:i/>
        </w:rPr>
        <w:t>Id.</w:t>
      </w:r>
      <w:r w:rsidRPr="003D0B44">
        <w:rPr>
          <w:rFonts w:cs="Times New Roman"/>
        </w:rPr>
        <w:t xml:space="preserve"> at 21-22.</w:t>
      </w:r>
    </w:p>
    <w:p w:rsidR="00DD196A" w:rsidRPr="003D0B44" w:rsidRDefault="00B73D47" w:rsidP="00FD322C">
      <w:pPr>
        <w:pStyle w:val="00BodyText1"/>
        <w:numPr>
          <w:ilvl w:val="2"/>
          <w:numId w:val="14"/>
        </w:numPr>
        <w:ind w:hanging="360"/>
        <w:rPr>
          <w:rFonts w:cs="Times New Roman"/>
          <w:u w:val="single"/>
        </w:rPr>
      </w:pPr>
      <w:r w:rsidRPr="003D0B44">
        <w:rPr>
          <w:rFonts w:cs="Times New Roman"/>
        </w:rPr>
        <w:t>That his conduct fell within the bounds of California’s anti-SLAPP law because the photos were an exercise of free speech and Jay-Z is the subjec</w:t>
      </w:r>
      <w:r w:rsidR="00DD196A" w:rsidRPr="003D0B44">
        <w:rPr>
          <w:rFonts w:cs="Times New Roman"/>
        </w:rPr>
        <w:t xml:space="preserve">t of widespread public interest. </w:t>
      </w:r>
    </w:p>
    <w:p w:rsidR="00B73D47" w:rsidRPr="003D0B44" w:rsidRDefault="00DD196A" w:rsidP="00FD322C">
      <w:pPr>
        <w:pStyle w:val="00BodyText1"/>
        <w:numPr>
          <w:ilvl w:val="1"/>
          <w:numId w:val="14"/>
        </w:numPr>
        <w:rPr>
          <w:rFonts w:cs="Times New Roman"/>
          <w:u w:val="single"/>
        </w:rPr>
      </w:pPr>
      <w:r w:rsidRPr="003D0B44">
        <w:rPr>
          <w:rFonts w:cs="Times New Roman"/>
          <w:b/>
        </w:rPr>
        <w:t>Denial of Anti-SLAPP Motion</w:t>
      </w:r>
      <w:r w:rsidR="00915AE1" w:rsidRPr="003D0B44">
        <w:rPr>
          <w:rFonts w:cs="Times New Roman"/>
          <w:b/>
        </w:rPr>
        <w:t xml:space="preserve">. </w:t>
      </w:r>
      <w:r w:rsidRPr="003D0B44">
        <w:rPr>
          <w:rFonts w:cs="Times New Roman"/>
        </w:rPr>
        <w:t>On September 8, 2021, the Court denied Mannion’s motion to dismiss and to strike,</w:t>
      </w:r>
      <w:r w:rsidR="00523210" w:rsidRPr="003D0B44">
        <w:rPr>
          <w:rFonts w:cs="Times New Roman"/>
        </w:rPr>
        <w:t xml:space="preserve"> ruling that</w:t>
      </w:r>
      <w:r w:rsidR="00FD322C" w:rsidRPr="003D0B44">
        <w:rPr>
          <w:rFonts w:cs="Times New Roman"/>
        </w:rPr>
        <w:t>, at this stage</w:t>
      </w:r>
      <w:r w:rsidR="00523210" w:rsidRPr="003D0B44">
        <w:rPr>
          <w:rFonts w:cs="Times New Roman"/>
        </w:rPr>
        <w:t xml:space="preserve">: </w:t>
      </w:r>
    </w:p>
    <w:p w:rsidR="00FD322C" w:rsidRPr="003D0B44" w:rsidRDefault="00523210" w:rsidP="00FD322C">
      <w:pPr>
        <w:pStyle w:val="00BodyText1"/>
        <w:numPr>
          <w:ilvl w:val="2"/>
          <w:numId w:val="14"/>
        </w:numPr>
        <w:ind w:hanging="360"/>
        <w:rPr>
          <w:rFonts w:cs="Times New Roman"/>
          <w:u w:val="single"/>
        </w:rPr>
      </w:pPr>
      <w:r w:rsidRPr="003D0B44">
        <w:rPr>
          <w:rFonts w:cs="Times New Roman"/>
        </w:rPr>
        <w:t xml:space="preserve">Jay-Z had alleged sufficient facts that Mannion could not obtain dismissal based on an alleged transformative use. </w:t>
      </w:r>
    </w:p>
    <w:p w:rsidR="00FD322C" w:rsidRPr="003D0B44" w:rsidRDefault="00FD322C" w:rsidP="008D0BF3">
      <w:pPr>
        <w:pStyle w:val="00BodyText1"/>
        <w:numPr>
          <w:ilvl w:val="2"/>
          <w:numId w:val="14"/>
        </w:numPr>
        <w:ind w:hanging="360"/>
        <w:rPr>
          <w:rFonts w:cs="Times New Roman"/>
          <w:u w:val="single"/>
        </w:rPr>
      </w:pPr>
      <w:r w:rsidRPr="003D0B44">
        <w:rPr>
          <w:rFonts w:cs="Times New Roman"/>
        </w:rPr>
        <w:t>Jay-Z’s allegation that Mannion was selling t-shirts and slip mats was enough to survive a motion to dismiss based on copyright preemptions</w:t>
      </w:r>
      <w:r w:rsidR="004F498C" w:rsidRPr="003D0B44">
        <w:rPr>
          <w:rFonts w:cs="Times New Roman"/>
        </w:rPr>
        <w:t xml:space="preserve">, </w:t>
      </w:r>
      <w:r w:rsidR="008D0BF3" w:rsidRPr="003D0B44">
        <w:rPr>
          <w:rFonts w:cs="Times New Roman"/>
        </w:rPr>
        <w:t xml:space="preserve">though </w:t>
      </w:r>
      <w:r w:rsidR="004F498C" w:rsidRPr="003D0B44">
        <w:rPr>
          <w:rFonts w:cs="Times New Roman"/>
        </w:rPr>
        <w:t>the C</w:t>
      </w:r>
      <w:r w:rsidR="008D0BF3" w:rsidRPr="003D0B44">
        <w:rPr>
          <w:rFonts w:cs="Times New Roman"/>
        </w:rPr>
        <w:t>ourt suggested claims based o</w:t>
      </w:r>
      <w:r w:rsidR="00915AE1" w:rsidRPr="003D0B44">
        <w:rPr>
          <w:rFonts w:cs="Times New Roman"/>
        </w:rPr>
        <w:t>n</w:t>
      </w:r>
      <w:r w:rsidR="008D0BF3" w:rsidRPr="003D0B44">
        <w:rPr>
          <w:rFonts w:cs="Times New Roman"/>
        </w:rPr>
        <w:t xml:space="preserve"> sales of photos standing alone would be preempted under </w:t>
      </w:r>
      <w:r w:rsidR="008D0BF3" w:rsidRPr="003D0B44">
        <w:rPr>
          <w:rFonts w:cs="Times New Roman"/>
          <w:i/>
        </w:rPr>
        <w:t>Maloney v. T3Media, Inc.</w:t>
      </w:r>
      <w:r w:rsidR="008D0BF3" w:rsidRPr="003D0B44">
        <w:rPr>
          <w:rFonts w:cs="Times New Roman"/>
        </w:rPr>
        <w:t>, 853 F. 3d 1004 (9th Cir. 2017)</w:t>
      </w:r>
      <w:r w:rsidRPr="003D0B44">
        <w:rPr>
          <w:rFonts w:cs="Times New Roman"/>
        </w:rPr>
        <w:t xml:space="preserve">. </w:t>
      </w:r>
      <w:r w:rsidR="003D0B44">
        <w:rPr>
          <w:rFonts w:cs="Times New Roman"/>
          <w:i/>
        </w:rPr>
        <w:t xml:space="preserve">See </w:t>
      </w:r>
      <w:r w:rsidR="003D0B44">
        <w:rPr>
          <w:rFonts w:cs="Times New Roman"/>
        </w:rPr>
        <w:t>Court Order (Sept. 8, 2021), Dkt. 39.</w:t>
      </w:r>
    </w:p>
    <w:p w:rsidR="00FD322C" w:rsidRPr="003D0B44" w:rsidRDefault="00FD322C" w:rsidP="00FD322C">
      <w:pPr>
        <w:pStyle w:val="00BodyText1"/>
        <w:ind w:left="1800" w:firstLine="0"/>
        <w:rPr>
          <w:rFonts w:cs="Times New Roman"/>
          <w:u w:val="single"/>
        </w:rPr>
      </w:pPr>
    </w:p>
    <w:p w:rsidR="00B73D47" w:rsidRPr="003D0B44" w:rsidRDefault="00B73D47" w:rsidP="00BD4EFC">
      <w:pPr>
        <w:pStyle w:val="00BodyText1"/>
        <w:numPr>
          <w:ilvl w:val="0"/>
          <w:numId w:val="14"/>
        </w:numPr>
        <w:ind w:right="1530"/>
        <w:rPr>
          <w:rFonts w:cs="Times New Roman"/>
          <w:b/>
          <w:sz w:val="28"/>
          <w:szCs w:val="28"/>
          <w:u w:val="single"/>
        </w:rPr>
      </w:pPr>
      <w:r w:rsidRPr="003D0B44">
        <w:rPr>
          <w:rFonts w:cs="Times New Roman"/>
          <w:b/>
          <w:i/>
          <w:sz w:val="28"/>
          <w:szCs w:val="28"/>
        </w:rPr>
        <w:t>Knapke v. PeopleConnect Inc.</w:t>
      </w:r>
      <w:r w:rsidRPr="003D0B44">
        <w:rPr>
          <w:rFonts w:cs="Times New Roman"/>
          <w:b/>
          <w:sz w:val="28"/>
          <w:szCs w:val="28"/>
        </w:rPr>
        <w:t xml:space="preserve">, No. </w:t>
      </w:r>
      <w:r w:rsidR="00BD4EFC" w:rsidRPr="003D0B44">
        <w:rPr>
          <w:rFonts w:cs="Times New Roman"/>
          <w:b/>
          <w:sz w:val="28"/>
          <w:szCs w:val="28"/>
        </w:rPr>
        <w:t>2:21-cv-00262-MJP</w:t>
      </w:r>
      <w:r w:rsidRPr="003D0B44">
        <w:rPr>
          <w:rFonts w:cs="Times New Roman"/>
          <w:b/>
          <w:sz w:val="28"/>
          <w:szCs w:val="28"/>
        </w:rPr>
        <w:t xml:space="preserve">, </w:t>
      </w:r>
      <w:r w:rsidRPr="003D0B44">
        <w:rPr>
          <w:rFonts w:cs="Times New Roman"/>
          <w:b/>
          <w:sz w:val="28"/>
          <w:szCs w:val="28"/>
          <w:u w:val="single"/>
        </w:rPr>
        <w:t>2021 U.S. Dist. LEXIS 150249 (W.D. Wash. Aug. 10, 2021)</w:t>
      </w:r>
    </w:p>
    <w:p w:rsidR="00B73D47" w:rsidRPr="003D0B44" w:rsidRDefault="00FD322C" w:rsidP="00BD4EFC">
      <w:pPr>
        <w:pStyle w:val="00BodyText1"/>
        <w:numPr>
          <w:ilvl w:val="1"/>
          <w:numId w:val="14"/>
        </w:numPr>
        <w:rPr>
          <w:rFonts w:cs="Times New Roman"/>
          <w:b/>
        </w:rPr>
      </w:pPr>
      <w:r w:rsidRPr="003D0B44">
        <w:rPr>
          <w:rFonts w:cs="Times New Roman"/>
          <w:b/>
        </w:rPr>
        <w:t>Claims</w:t>
      </w:r>
      <w:r w:rsidR="00915AE1" w:rsidRPr="003D0B44">
        <w:rPr>
          <w:rFonts w:cs="Times New Roman"/>
          <w:b/>
        </w:rPr>
        <w:t xml:space="preserve">. </w:t>
      </w:r>
      <w:r w:rsidR="00B73D47" w:rsidRPr="003D0B44">
        <w:rPr>
          <w:rFonts w:cs="Times New Roman"/>
        </w:rPr>
        <w:t>Knapke sued Peopleconnect, the operator of Classmates.com, for using her name and photo</w:t>
      </w:r>
      <w:r w:rsidRPr="003D0B44">
        <w:rPr>
          <w:rFonts w:cs="Times New Roman"/>
        </w:rPr>
        <w:t>graph</w:t>
      </w:r>
      <w:r w:rsidR="00B73D47" w:rsidRPr="003D0B44">
        <w:rPr>
          <w:rFonts w:cs="Times New Roman"/>
        </w:rPr>
        <w:t xml:space="preserve"> in advertisements on i</w:t>
      </w:r>
      <w:r w:rsidR="00BD4EFC" w:rsidRPr="003D0B44">
        <w:rPr>
          <w:rFonts w:cs="Times New Roman"/>
        </w:rPr>
        <w:t>ts website without her consent</w:t>
      </w:r>
      <w:r w:rsidR="00915AE1" w:rsidRPr="003D0B44">
        <w:rPr>
          <w:rFonts w:cs="Times New Roman"/>
        </w:rPr>
        <w:t xml:space="preserve">. </w:t>
      </w:r>
      <w:r w:rsidR="00BD4EFC" w:rsidRPr="003D0B44">
        <w:rPr>
          <w:rFonts w:cs="Times New Roman"/>
        </w:rPr>
        <w:t xml:space="preserve">She asserted a single claim under Ohio’s Right of Publicity statute, Ohio Rev. Code Ann. § 2741.02. </w:t>
      </w:r>
    </w:p>
    <w:p w:rsidR="00FD322C" w:rsidRPr="003D0B44" w:rsidRDefault="00FD322C" w:rsidP="00FD322C">
      <w:pPr>
        <w:pStyle w:val="00BodyText1"/>
        <w:numPr>
          <w:ilvl w:val="1"/>
          <w:numId w:val="14"/>
        </w:numPr>
        <w:rPr>
          <w:rFonts w:cs="Times New Roman"/>
          <w:b/>
        </w:rPr>
      </w:pPr>
      <w:r w:rsidRPr="003D0B44">
        <w:rPr>
          <w:rFonts w:cs="Times New Roman"/>
          <w:b/>
        </w:rPr>
        <w:t>Defenses</w:t>
      </w:r>
      <w:r w:rsidR="00915AE1" w:rsidRPr="003D0B44">
        <w:rPr>
          <w:rFonts w:cs="Times New Roman"/>
          <w:b/>
        </w:rPr>
        <w:t xml:space="preserve">. </w:t>
      </w:r>
      <w:r w:rsidR="00B73D47" w:rsidRPr="003D0B44">
        <w:rPr>
          <w:rFonts w:cs="Times New Roman"/>
        </w:rPr>
        <w:t xml:space="preserve">Classmates argued for dismissal on the basis of seven arguments: that Knapke was bound to arbitrate the claim; that her claim was barred by the </w:t>
      </w:r>
      <w:r w:rsidRPr="003D0B44">
        <w:rPr>
          <w:rFonts w:cs="Times New Roman"/>
        </w:rPr>
        <w:t>Communications Decency Act (“CDA”)</w:t>
      </w:r>
      <w:r w:rsidR="00B73D47" w:rsidRPr="003D0B44">
        <w:rPr>
          <w:rFonts w:cs="Times New Roman"/>
        </w:rPr>
        <w:t xml:space="preserve">; that it was preempted by the Copyright Act; that she did not have a viable claim under the Ohio </w:t>
      </w:r>
      <w:r w:rsidRPr="003D0B44">
        <w:rPr>
          <w:rFonts w:cs="Times New Roman"/>
        </w:rPr>
        <w:t>Right of Publicity</w:t>
      </w:r>
      <w:r w:rsidR="00B73D47" w:rsidRPr="003D0B44">
        <w:rPr>
          <w:rFonts w:cs="Times New Roman"/>
        </w:rPr>
        <w:t xml:space="preserve"> law; that her claim fell within an exemption to the </w:t>
      </w:r>
      <w:r w:rsidRPr="003D0B44">
        <w:rPr>
          <w:rFonts w:cs="Times New Roman"/>
        </w:rPr>
        <w:t xml:space="preserve">Right of Publicity </w:t>
      </w:r>
      <w:r w:rsidR="00B73D47" w:rsidRPr="003D0B44">
        <w:rPr>
          <w:rFonts w:cs="Times New Roman"/>
        </w:rPr>
        <w:t>law; that Classmates was protected under the First Amendment; and the dormant Commerce Clause</w:t>
      </w:r>
      <w:r w:rsidR="00915AE1" w:rsidRPr="003D0B44">
        <w:rPr>
          <w:rFonts w:cs="Times New Roman"/>
        </w:rPr>
        <w:t xml:space="preserve">. </w:t>
      </w:r>
      <w:r w:rsidR="003D0B44">
        <w:rPr>
          <w:rFonts w:cs="Times New Roman"/>
        </w:rPr>
        <w:t>2021 U.S. Dist. LEXIS 150249,</w:t>
      </w:r>
      <w:r w:rsidR="00B73D47" w:rsidRPr="003D0B44">
        <w:rPr>
          <w:rFonts w:cs="Times New Roman"/>
        </w:rPr>
        <w:t xml:space="preserve"> at *3.</w:t>
      </w:r>
    </w:p>
    <w:p w:rsidR="00BD4EFC" w:rsidRPr="003D0B44" w:rsidRDefault="00FD322C" w:rsidP="00BD4EFC">
      <w:pPr>
        <w:pStyle w:val="00BodyText1"/>
        <w:numPr>
          <w:ilvl w:val="1"/>
          <w:numId w:val="14"/>
        </w:numPr>
        <w:rPr>
          <w:rFonts w:cs="Times New Roman"/>
          <w:b/>
        </w:rPr>
      </w:pPr>
      <w:r w:rsidRPr="003D0B44">
        <w:rPr>
          <w:rFonts w:cs="Times New Roman"/>
          <w:b/>
        </w:rPr>
        <w:t>Order</w:t>
      </w:r>
      <w:r w:rsidR="00915AE1" w:rsidRPr="003D0B44">
        <w:rPr>
          <w:rFonts w:cs="Times New Roman"/>
          <w:b/>
        </w:rPr>
        <w:t xml:space="preserve">. </w:t>
      </w:r>
      <w:r w:rsidRPr="003D0B44">
        <w:rPr>
          <w:rFonts w:cs="Times New Roman"/>
        </w:rPr>
        <w:t xml:space="preserve">The Court denied Classmates’ motion to dismiss, as follows: </w:t>
      </w:r>
    </w:p>
    <w:p w:rsidR="00BD4EFC" w:rsidRPr="003D0B44" w:rsidRDefault="00FD322C" w:rsidP="00BD4EFC">
      <w:pPr>
        <w:pStyle w:val="00BodyText1"/>
        <w:numPr>
          <w:ilvl w:val="2"/>
          <w:numId w:val="14"/>
        </w:numPr>
        <w:ind w:hanging="360"/>
        <w:rPr>
          <w:rFonts w:cs="Times New Roman"/>
          <w:b/>
        </w:rPr>
      </w:pPr>
      <w:r w:rsidRPr="003D0B44">
        <w:rPr>
          <w:rFonts w:cs="Times New Roman"/>
        </w:rPr>
        <w:t xml:space="preserve">The Court rejected Classmates’ CDA argument, ruling that Classmates, in this context, was a content producer. </w:t>
      </w:r>
    </w:p>
    <w:p w:rsidR="00BD4EFC" w:rsidRPr="003D0B44" w:rsidRDefault="00B73D47" w:rsidP="00BD4EFC">
      <w:pPr>
        <w:pStyle w:val="00BodyText1"/>
        <w:numPr>
          <w:ilvl w:val="2"/>
          <w:numId w:val="14"/>
        </w:numPr>
        <w:ind w:hanging="360"/>
        <w:rPr>
          <w:rFonts w:cs="Times New Roman"/>
          <w:b/>
        </w:rPr>
      </w:pPr>
      <w:r w:rsidRPr="003D0B44">
        <w:rPr>
          <w:rFonts w:cs="Times New Roman"/>
        </w:rPr>
        <w:t>Classmates</w:t>
      </w:r>
      <w:r w:rsidR="00FD322C" w:rsidRPr="003D0B44">
        <w:rPr>
          <w:rFonts w:cs="Times New Roman"/>
        </w:rPr>
        <w:t xml:space="preserve"> had</w:t>
      </w:r>
      <w:r w:rsidRPr="003D0B44">
        <w:rPr>
          <w:rFonts w:cs="Times New Roman"/>
        </w:rPr>
        <w:t xml:space="preserve"> argued that Knapke lacked a viable </w:t>
      </w:r>
      <w:r w:rsidR="00FD322C" w:rsidRPr="003D0B44">
        <w:rPr>
          <w:rFonts w:cs="Times New Roman"/>
        </w:rPr>
        <w:t xml:space="preserve">right of publicity </w:t>
      </w:r>
      <w:r w:rsidRPr="003D0B44">
        <w:rPr>
          <w:rFonts w:cs="Times New Roman"/>
        </w:rPr>
        <w:t>claim because she did not allege that any user of the website had seen the ad containing her photo</w:t>
      </w:r>
      <w:r w:rsidR="00915AE1" w:rsidRPr="003D0B44">
        <w:rPr>
          <w:rFonts w:cs="Times New Roman"/>
        </w:rPr>
        <w:t xml:space="preserve">. </w:t>
      </w:r>
      <w:r w:rsidR="00FD322C" w:rsidRPr="003D0B44">
        <w:rPr>
          <w:rFonts w:cs="Times New Roman"/>
        </w:rPr>
        <w:t>The Court rejected this argument, ruling that ROP</w:t>
      </w:r>
      <w:r w:rsidRPr="003D0B44">
        <w:rPr>
          <w:rFonts w:cs="Times New Roman"/>
        </w:rPr>
        <w:t xml:space="preserve"> claims are based on the defendant’s use of the image, not whether any third-party viewed it</w:t>
      </w:r>
      <w:r w:rsidR="00915AE1" w:rsidRPr="003D0B44">
        <w:rPr>
          <w:rFonts w:cs="Times New Roman"/>
        </w:rPr>
        <w:t xml:space="preserve">. </w:t>
      </w:r>
      <w:r w:rsidRPr="003D0B44">
        <w:rPr>
          <w:rFonts w:cs="Times New Roman"/>
        </w:rPr>
        <w:t>Classmates also argued that Knapke’s photo had no intrinsic commercial value</w:t>
      </w:r>
      <w:r w:rsidR="00FD322C" w:rsidRPr="003D0B44">
        <w:rPr>
          <w:rFonts w:cs="Times New Roman"/>
        </w:rPr>
        <w:t>, but the Court</w:t>
      </w:r>
      <w:r w:rsidRPr="003D0B44">
        <w:rPr>
          <w:rFonts w:cs="Times New Roman"/>
        </w:rPr>
        <w:t xml:space="preserve"> rejected that argument as well, citing the </w:t>
      </w:r>
      <w:r w:rsidR="00FD322C" w:rsidRPr="003D0B44">
        <w:rPr>
          <w:rFonts w:cs="Times New Roman"/>
        </w:rPr>
        <w:t xml:space="preserve">use of the photograph in an advertisement as </w:t>
      </w:r>
      <w:r w:rsidRPr="003D0B44">
        <w:rPr>
          <w:rFonts w:cs="Times New Roman"/>
        </w:rPr>
        <w:t>evidence of its commercial value</w:t>
      </w:r>
      <w:r w:rsidR="00915AE1" w:rsidRPr="003D0B44">
        <w:rPr>
          <w:rFonts w:cs="Times New Roman"/>
        </w:rPr>
        <w:t xml:space="preserve">. </w:t>
      </w:r>
      <w:r w:rsidRPr="003D0B44">
        <w:rPr>
          <w:rFonts w:cs="Times New Roman"/>
          <w:i/>
        </w:rPr>
        <w:t>Id</w:t>
      </w:r>
      <w:r w:rsidRPr="003D0B44">
        <w:rPr>
          <w:rFonts w:cs="Times New Roman"/>
        </w:rPr>
        <w:t>. at *14-15.</w:t>
      </w:r>
    </w:p>
    <w:p w:rsidR="00BD4EFC" w:rsidRPr="003D0B44" w:rsidRDefault="00FD322C" w:rsidP="00BD4EFC">
      <w:pPr>
        <w:pStyle w:val="00BodyText1"/>
        <w:numPr>
          <w:ilvl w:val="2"/>
          <w:numId w:val="14"/>
        </w:numPr>
        <w:ind w:hanging="360"/>
        <w:rPr>
          <w:rFonts w:cs="Times New Roman"/>
          <w:b/>
        </w:rPr>
      </w:pPr>
      <w:r w:rsidRPr="003D0B44">
        <w:rPr>
          <w:rFonts w:cs="Times New Roman"/>
        </w:rPr>
        <w:t xml:space="preserve">The Court also rejected </w:t>
      </w:r>
      <w:r w:rsidR="00B73D47" w:rsidRPr="003D0B44">
        <w:rPr>
          <w:rFonts w:cs="Times New Roman"/>
        </w:rPr>
        <w:t xml:space="preserve">Classmates argued that Ohio’s ROP </w:t>
      </w:r>
      <w:r w:rsidRPr="003D0B44">
        <w:rPr>
          <w:rFonts w:cs="Times New Roman"/>
        </w:rPr>
        <w:t xml:space="preserve">law </w:t>
      </w:r>
      <w:r w:rsidR="00B73D47" w:rsidRPr="003D0B44">
        <w:rPr>
          <w:rFonts w:cs="Times New Roman"/>
        </w:rPr>
        <w:t>did not apply extraterritorially, meaning that Knapke could sustain her claim only if she alleged that someone in Ohio saw the advertisement</w:t>
      </w:r>
      <w:r w:rsidR="00915AE1" w:rsidRPr="003D0B44">
        <w:rPr>
          <w:rFonts w:cs="Times New Roman"/>
        </w:rPr>
        <w:t xml:space="preserve">. </w:t>
      </w:r>
      <w:r w:rsidR="00B73D47" w:rsidRPr="003D0B44">
        <w:rPr>
          <w:rFonts w:cs="Times New Roman"/>
          <w:i/>
        </w:rPr>
        <w:t>Id.</w:t>
      </w:r>
      <w:r w:rsidR="00B73D47" w:rsidRPr="003D0B44">
        <w:rPr>
          <w:rFonts w:cs="Times New Roman"/>
        </w:rPr>
        <w:t xml:space="preserve"> at *16-17.</w:t>
      </w:r>
    </w:p>
    <w:p w:rsidR="00BD4EFC" w:rsidRPr="003D0B44" w:rsidRDefault="00B73D47" w:rsidP="00BD4EFC">
      <w:pPr>
        <w:pStyle w:val="00BodyText1"/>
        <w:numPr>
          <w:ilvl w:val="2"/>
          <w:numId w:val="14"/>
        </w:numPr>
        <w:ind w:hanging="360"/>
        <w:rPr>
          <w:rFonts w:cs="Times New Roman"/>
          <w:b/>
        </w:rPr>
      </w:pPr>
      <w:r w:rsidRPr="003D0B44">
        <w:rPr>
          <w:rFonts w:cs="Times New Roman"/>
        </w:rPr>
        <w:t xml:space="preserve">The </w:t>
      </w:r>
      <w:r w:rsidR="00FD322C" w:rsidRPr="003D0B44">
        <w:rPr>
          <w:rFonts w:cs="Times New Roman"/>
        </w:rPr>
        <w:t>C</w:t>
      </w:r>
      <w:r w:rsidRPr="003D0B44">
        <w:rPr>
          <w:rFonts w:cs="Times New Roman"/>
        </w:rPr>
        <w:t>ourt</w:t>
      </w:r>
      <w:r w:rsidR="00FD322C" w:rsidRPr="003D0B44">
        <w:rPr>
          <w:rFonts w:cs="Times New Roman"/>
        </w:rPr>
        <w:t xml:space="preserve"> ruled th</w:t>
      </w:r>
      <w:r w:rsidRPr="003D0B44">
        <w:rPr>
          <w:rFonts w:cs="Times New Roman"/>
        </w:rPr>
        <w:t>at some of the disputed ads were exempt from Ohio’s ROP law because they were advertisements of literary works (yearbooks)</w:t>
      </w:r>
      <w:r w:rsidR="00FD322C" w:rsidRPr="003D0B44">
        <w:rPr>
          <w:rFonts w:cs="Times New Roman"/>
        </w:rPr>
        <w:t xml:space="preserve">, but advertisements for </w:t>
      </w:r>
      <w:r w:rsidRPr="003D0B44">
        <w:rPr>
          <w:rFonts w:cs="Times New Roman"/>
        </w:rPr>
        <w:t xml:space="preserve">Classmate’s subscription services </w:t>
      </w:r>
      <w:r w:rsidR="00FD322C" w:rsidRPr="003D0B44">
        <w:rPr>
          <w:rFonts w:cs="Times New Roman"/>
        </w:rPr>
        <w:t>were not exempt</w:t>
      </w:r>
      <w:r w:rsidR="00915AE1" w:rsidRPr="003D0B44">
        <w:rPr>
          <w:rFonts w:cs="Times New Roman"/>
        </w:rPr>
        <w:t xml:space="preserve">. </w:t>
      </w:r>
      <w:r w:rsidRPr="003D0B44">
        <w:rPr>
          <w:rFonts w:cs="Times New Roman"/>
          <w:i/>
        </w:rPr>
        <w:t>Id.</w:t>
      </w:r>
      <w:r w:rsidRPr="003D0B44">
        <w:rPr>
          <w:rFonts w:cs="Times New Roman"/>
        </w:rPr>
        <w:t xml:space="preserve"> at *18-19</w:t>
      </w:r>
      <w:r w:rsidR="00915AE1" w:rsidRPr="003D0B44">
        <w:rPr>
          <w:rFonts w:cs="Times New Roman"/>
        </w:rPr>
        <w:t xml:space="preserve">. </w:t>
      </w:r>
      <w:r w:rsidRPr="003D0B44">
        <w:rPr>
          <w:rFonts w:cs="Times New Roman"/>
        </w:rPr>
        <w:t>The public affairs exception to ROP also didn’t apply.</w:t>
      </w:r>
    </w:p>
    <w:p w:rsidR="00BD4EFC" w:rsidRPr="003D0B44" w:rsidRDefault="00B73D47" w:rsidP="00BD4EFC">
      <w:pPr>
        <w:pStyle w:val="00BodyText1"/>
        <w:numPr>
          <w:ilvl w:val="2"/>
          <w:numId w:val="14"/>
        </w:numPr>
        <w:ind w:hanging="360"/>
        <w:rPr>
          <w:rFonts w:cs="Times New Roman"/>
          <w:b/>
        </w:rPr>
      </w:pPr>
      <w:r w:rsidRPr="003D0B44">
        <w:rPr>
          <w:rFonts w:cs="Times New Roman"/>
        </w:rPr>
        <w:t xml:space="preserve">Finally, Ohio’s ROP law did not violate the First Amendment—even if the ad at issue here were considered protected commercial speech, the ROP law “directly and appropriately advances Ohio's substantial interest in enabling its citizens to protect the non-consensual commercial exploitation of their likeness without overbroadly prohibiting commercial speech.” </w:t>
      </w:r>
      <w:r w:rsidR="00BD4EFC" w:rsidRPr="003D0B44">
        <w:rPr>
          <w:rFonts w:cs="Times New Roman"/>
        </w:rPr>
        <w:t xml:space="preserve"> </w:t>
      </w:r>
      <w:r w:rsidRPr="003D0B44">
        <w:rPr>
          <w:rFonts w:cs="Times New Roman"/>
          <w:i/>
        </w:rPr>
        <w:t>Id.</w:t>
      </w:r>
      <w:r w:rsidRPr="003D0B44">
        <w:rPr>
          <w:rFonts w:cs="Times New Roman"/>
        </w:rPr>
        <w:t xml:space="preserve"> at *23.</w:t>
      </w:r>
    </w:p>
    <w:p w:rsidR="00BD4EFC" w:rsidRPr="003D0B44" w:rsidRDefault="00BD4EFC" w:rsidP="00BD4EFC">
      <w:pPr>
        <w:pStyle w:val="00BodyText1"/>
        <w:ind w:left="1440" w:firstLine="0"/>
        <w:rPr>
          <w:rFonts w:cs="Times New Roman"/>
        </w:rPr>
      </w:pPr>
    </w:p>
    <w:p w:rsidR="00B73D47" w:rsidRPr="003D0B44" w:rsidRDefault="00B73D47" w:rsidP="00FD322C">
      <w:pPr>
        <w:pStyle w:val="00BodyText1"/>
        <w:numPr>
          <w:ilvl w:val="0"/>
          <w:numId w:val="14"/>
        </w:numPr>
        <w:tabs>
          <w:tab w:val="left" w:pos="5850"/>
        </w:tabs>
        <w:rPr>
          <w:rFonts w:cs="Times New Roman"/>
          <w:b/>
          <w:sz w:val="28"/>
          <w:szCs w:val="28"/>
          <w:u w:val="single"/>
        </w:rPr>
      </w:pPr>
      <w:r w:rsidRPr="00C60960">
        <w:rPr>
          <w:rFonts w:cs="Times New Roman"/>
          <w:b/>
          <w:i/>
          <w:sz w:val="28"/>
          <w:szCs w:val="28"/>
        </w:rPr>
        <w:t>Spencer Elden v. Ni</w:t>
      </w:r>
      <w:r w:rsidR="00915AE1" w:rsidRPr="00C60960">
        <w:rPr>
          <w:rFonts w:cs="Times New Roman"/>
          <w:b/>
          <w:i/>
          <w:sz w:val="28"/>
          <w:szCs w:val="28"/>
        </w:rPr>
        <w:t>r</w:t>
      </w:r>
      <w:r w:rsidRPr="00C60960">
        <w:rPr>
          <w:rFonts w:cs="Times New Roman"/>
          <w:b/>
          <w:i/>
          <w:sz w:val="28"/>
          <w:szCs w:val="28"/>
        </w:rPr>
        <w:t>vana, L.L.C., et al.</w:t>
      </w:r>
      <w:r w:rsidRPr="00C60960">
        <w:rPr>
          <w:rFonts w:cs="Times New Roman"/>
          <w:b/>
          <w:sz w:val="28"/>
          <w:szCs w:val="28"/>
        </w:rPr>
        <w:t>, No. 21-cv-06836</w:t>
      </w:r>
      <w:r w:rsidR="003D0B44" w:rsidRPr="00C60960">
        <w:rPr>
          <w:rFonts w:cs="Times New Roman"/>
          <w:b/>
          <w:sz w:val="28"/>
          <w:szCs w:val="28"/>
        </w:rPr>
        <w:t>-FMO-AGR</w:t>
      </w:r>
      <w:r w:rsidRPr="00C60960">
        <w:rPr>
          <w:rFonts w:cs="Times New Roman"/>
          <w:b/>
          <w:sz w:val="28"/>
          <w:szCs w:val="28"/>
        </w:rPr>
        <w:t xml:space="preserve"> </w:t>
      </w:r>
      <w:r w:rsidRPr="003D0B44">
        <w:rPr>
          <w:rFonts w:cs="Times New Roman"/>
          <w:b/>
          <w:sz w:val="28"/>
          <w:szCs w:val="28"/>
          <w:u w:val="single"/>
        </w:rPr>
        <w:t>(C.D. Cal.</w:t>
      </w:r>
      <w:r w:rsidR="003D0B44">
        <w:rPr>
          <w:rFonts w:cs="Times New Roman"/>
          <w:b/>
          <w:sz w:val="28"/>
          <w:szCs w:val="28"/>
          <w:u w:val="single"/>
        </w:rPr>
        <w:t>, filed Aug. 24, 2021</w:t>
      </w:r>
      <w:r w:rsidRPr="003D0B44">
        <w:rPr>
          <w:rFonts w:cs="Times New Roman"/>
          <w:b/>
          <w:sz w:val="28"/>
          <w:szCs w:val="28"/>
          <w:u w:val="single"/>
        </w:rPr>
        <w:t>)</w:t>
      </w:r>
    </w:p>
    <w:p w:rsidR="00BD4EFC" w:rsidRPr="003D0B44" w:rsidRDefault="00B73D47" w:rsidP="00BD4EFC">
      <w:pPr>
        <w:pStyle w:val="00BodyText1"/>
        <w:numPr>
          <w:ilvl w:val="1"/>
          <w:numId w:val="14"/>
        </w:numPr>
        <w:tabs>
          <w:tab w:val="left" w:pos="5850"/>
        </w:tabs>
        <w:rPr>
          <w:rFonts w:cs="Times New Roman"/>
          <w:b/>
          <w:u w:val="single"/>
        </w:rPr>
      </w:pPr>
      <w:r w:rsidRPr="003D0B44">
        <w:rPr>
          <w:rFonts w:cs="Times New Roman"/>
          <w:b/>
        </w:rPr>
        <w:t>Overview</w:t>
      </w:r>
      <w:r w:rsidR="00915AE1" w:rsidRPr="003D0B44">
        <w:rPr>
          <w:rFonts w:cs="Times New Roman"/>
          <w:b/>
        </w:rPr>
        <w:t xml:space="preserve">. </w:t>
      </w:r>
      <w:r w:rsidRPr="003D0B44">
        <w:rPr>
          <w:rFonts w:cs="Times New Roman"/>
        </w:rPr>
        <w:t xml:space="preserve">Plaintiff, whose photograph as an infant was used on the iconic cover of Nirvana’s Nevermind album, has sued Nirvana, Universal Music Group, Inc., Warner Records, Inc., the David Geffen Company, and the individual art director and members of Nirvana (or their estates), claiming that the photograph constituted child pornography and/or an invasion of his right of privacy. </w:t>
      </w:r>
    </w:p>
    <w:p w:rsidR="00BD4EFC" w:rsidRPr="003D0B44" w:rsidRDefault="00B73D47" w:rsidP="00C60960">
      <w:pPr>
        <w:pStyle w:val="00BodyText1"/>
        <w:keepNext/>
        <w:numPr>
          <w:ilvl w:val="1"/>
          <w:numId w:val="14"/>
        </w:numPr>
        <w:tabs>
          <w:tab w:val="left" w:pos="5850"/>
        </w:tabs>
        <w:rPr>
          <w:rFonts w:cs="Times New Roman"/>
          <w:b/>
          <w:u w:val="single"/>
        </w:rPr>
      </w:pPr>
      <w:r w:rsidRPr="003D0B44">
        <w:rPr>
          <w:rFonts w:cs="Times New Roman"/>
          <w:b/>
        </w:rPr>
        <w:t>Allegations.</w:t>
      </w:r>
    </w:p>
    <w:p w:rsidR="00BD4EFC" w:rsidRPr="003D0B44" w:rsidRDefault="00B73D47" w:rsidP="00BD4EFC">
      <w:pPr>
        <w:pStyle w:val="00BodyText1"/>
        <w:numPr>
          <w:ilvl w:val="2"/>
          <w:numId w:val="14"/>
        </w:numPr>
        <w:tabs>
          <w:tab w:val="left" w:pos="5850"/>
        </w:tabs>
        <w:ind w:hanging="360"/>
        <w:rPr>
          <w:rFonts w:cs="Times New Roman"/>
          <w:b/>
          <w:u w:val="single"/>
        </w:rPr>
      </w:pPr>
      <w:r w:rsidRPr="003D0B44">
        <w:rPr>
          <w:rFonts w:cs="Times New Roman"/>
        </w:rPr>
        <w:t xml:space="preserve">The photograph at issue shows Elden, four months old at the time, naked in a swimming pool, reaching for a dollar bill on a fishhook. </w:t>
      </w:r>
    </w:p>
    <w:p w:rsidR="00BD4EFC" w:rsidRPr="003D0B44" w:rsidRDefault="00B73D47" w:rsidP="00BD4EFC">
      <w:pPr>
        <w:pStyle w:val="00BodyText1"/>
        <w:numPr>
          <w:ilvl w:val="2"/>
          <w:numId w:val="14"/>
        </w:numPr>
        <w:tabs>
          <w:tab w:val="left" w:pos="5850"/>
        </w:tabs>
        <w:ind w:hanging="360"/>
        <w:rPr>
          <w:rFonts w:cs="Times New Roman"/>
          <w:b/>
          <w:u w:val="single"/>
        </w:rPr>
      </w:pPr>
      <w:r w:rsidRPr="003D0B44">
        <w:rPr>
          <w:rFonts w:cs="Times New Roman"/>
        </w:rPr>
        <w:t>Elden, who has appeared for (clothed) recreations of the photograph in years since, now claims that the photograph “depicts a lascivious exhibition” of his genitals, Compl. ¶ </w:t>
      </w:r>
      <w:r w:rsidR="00915AE1" w:rsidRPr="003D0B44">
        <w:rPr>
          <w:rFonts w:cs="Times New Roman"/>
        </w:rPr>
        <w:t>108</w:t>
      </w:r>
      <w:r w:rsidR="003D0B44">
        <w:rPr>
          <w:rFonts w:cs="Times New Roman"/>
        </w:rPr>
        <w:t xml:space="preserve"> (Aug. 24, 2021), Dkt. 1</w:t>
      </w:r>
      <w:r w:rsidRPr="003D0B44">
        <w:rPr>
          <w:rFonts w:cs="Times New Roman"/>
        </w:rPr>
        <w:t xml:space="preserve">, and constitutes “commercial child sexual exploitation of him,” </w:t>
      </w:r>
      <w:r w:rsidRPr="003D0B44">
        <w:rPr>
          <w:rFonts w:cs="Times New Roman"/>
          <w:i/>
        </w:rPr>
        <w:t>id.</w:t>
      </w:r>
      <w:r w:rsidRPr="003D0B44">
        <w:rPr>
          <w:rFonts w:cs="Times New Roman"/>
        </w:rPr>
        <w:t xml:space="preserve"> ¶ 3</w:t>
      </w:r>
      <w:r w:rsidR="00915AE1" w:rsidRPr="003D0B44">
        <w:rPr>
          <w:rFonts w:cs="Times New Roman"/>
        </w:rPr>
        <w:t xml:space="preserve">. </w:t>
      </w:r>
      <w:r w:rsidRPr="003D0B44">
        <w:rPr>
          <w:rFonts w:cs="Times New Roman"/>
        </w:rPr>
        <w:t xml:space="preserve">He contends that the album covers were part of a “commonly utilized” “promotion scheme’ that “posed children in a sexually provocative manner to gain notoriety, drive sales, and garner media attention, and critical reviews.”  </w:t>
      </w:r>
      <w:r w:rsidRPr="003D0B44">
        <w:rPr>
          <w:rFonts w:cs="Times New Roman"/>
          <w:i/>
        </w:rPr>
        <w:t>Id.</w:t>
      </w:r>
      <w:r w:rsidRPr="003D0B44">
        <w:rPr>
          <w:rFonts w:cs="Times New Roman"/>
        </w:rPr>
        <w:t xml:space="preserve"> ¶ 10. </w:t>
      </w:r>
    </w:p>
    <w:p w:rsidR="00BD4EFC" w:rsidRPr="003D0B44" w:rsidRDefault="00B73D47" w:rsidP="00BD4EFC">
      <w:pPr>
        <w:pStyle w:val="00BodyText1"/>
        <w:numPr>
          <w:ilvl w:val="2"/>
          <w:numId w:val="14"/>
        </w:numPr>
        <w:tabs>
          <w:tab w:val="left" w:pos="5850"/>
        </w:tabs>
        <w:ind w:hanging="360"/>
        <w:rPr>
          <w:rFonts w:cs="Times New Roman"/>
          <w:b/>
          <w:u w:val="single"/>
        </w:rPr>
      </w:pPr>
      <w:r w:rsidRPr="003D0B44">
        <w:rPr>
          <w:rFonts w:cs="Times New Roman"/>
        </w:rPr>
        <w:t xml:space="preserve">In the Complaint, Elden alleges that prior to the use of this photograph, “Nirvana was a relatively unknown local grunge band,” </w:t>
      </w:r>
      <w:r w:rsidR="003D0B44">
        <w:rPr>
          <w:rFonts w:cs="Times New Roman"/>
          <w:i/>
        </w:rPr>
        <w:t>Id.</w:t>
      </w:r>
      <w:r w:rsidRPr="003D0B44">
        <w:rPr>
          <w:rFonts w:cs="Times New Roman"/>
        </w:rPr>
        <w:t xml:space="preserve"> ¶ 95, and that his “image created massive commercial success for Nirvana, for which Spencer never received any compensation.”  </w:t>
      </w:r>
    </w:p>
    <w:p w:rsidR="00BD4EFC" w:rsidRPr="003D0B44" w:rsidRDefault="00B73D47" w:rsidP="00BD4EFC">
      <w:pPr>
        <w:pStyle w:val="00BodyText1"/>
        <w:numPr>
          <w:ilvl w:val="2"/>
          <w:numId w:val="14"/>
        </w:numPr>
        <w:tabs>
          <w:tab w:val="left" w:pos="5850"/>
        </w:tabs>
        <w:ind w:hanging="360"/>
        <w:rPr>
          <w:rFonts w:cs="Times New Roman"/>
          <w:b/>
          <w:u w:val="single"/>
        </w:rPr>
      </w:pPr>
      <w:r w:rsidRPr="003D0B44">
        <w:rPr>
          <w:rFonts w:cs="Times New Roman"/>
        </w:rPr>
        <w:t xml:space="preserve">He also claims that neither he nor his legal guardians ever signed a release “authorizing the use of any images of Spencer or of his likeness, and certainly not of commercial child pornography depicting him.”  </w:t>
      </w:r>
    </w:p>
    <w:p w:rsidR="00BD4EFC" w:rsidRPr="003D0B44" w:rsidRDefault="00B73D47" w:rsidP="00BD4EFC">
      <w:pPr>
        <w:pStyle w:val="00BodyText1"/>
        <w:numPr>
          <w:ilvl w:val="2"/>
          <w:numId w:val="14"/>
        </w:numPr>
        <w:tabs>
          <w:tab w:val="left" w:pos="5850"/>
        </w:tabs>
        <w:ind w:hanging="360"/>
        <w:rPr>
          <w:rFonts w:cs="Times New Roman"/>
          <w:b/>
          <w:u w:val="single"/>
        </w:rPr>
      </w:pPr>
      <w:r w:rsidRPr="003D0B44">
        <w:rPr>
          <w:rFonts w:cs="Times New Roman"/>
        </w:rPr>
        <w:t xml:space="preserve">Based on these allegations, Elden asserted six claims:  (1) Civil Remedy for Personal Injuries by Child Pornography, 18 U.S.C. § 2255(a); (2) Violation of 18 U.S.C. § 1595, relating to sex trafficking; (3) Negligence; (4) Distribution Of Private Sexually Explicit Materials, in violation of 3 Cal. Civ. Code 1708.85; (5) Intrusion into Private Affairs; and (6) Invasion of Privacy under California Constitution. </w:t>
      </w:r>
    </w:p>
    <w:p w:rsidR="00BD4EFC" w:rsidRPr="003D0B44" w:rsidRDefault="00B73D47" w:rsidP="00BD4EFC">
      <w:pPr>
        <w:pStyle w:val="00BodyText1"/>
        <w:numPr>
          <w:ilvl w:val="1"/>
          <w:numId w:val="14"/>
        </w:numPr>
        <w:tabs>
          <w:tab w:val="left" w:pos="5850"/>
        </w:tabs>
        <w:rPr>
          <w:rFonts w:cs="Times New Roman"/>
          <w:b/>
          <w:u w:val="single"/>
        </w:rPr>
      </w:pPr>
      <w:r w:rsidRPr="003D0B44">
        <w:rPr>
          <w:rFonts w:cs="Times New Roman"/>
          <w:b/>
        </w:rPr>
        <w:t>Defenses</w:t>
      </w:r>
      <w:r w:rsidR="00915AE1" w:rsidRPr="003D0B44">
        <w:rPr>
          <w:rFonts w:cs="Times New Roman"/>
          <w:b/>
        </w:rPr>
        <w:t xml:space="preserve">. </w:t>
      </w:r>
      <w:r w:rsidRPr="003D0B44">
        <w:rPr>
          <w:rFonts w:cs="Times New Roman"/>
        </w:rPr>
        <w:t xml:space="preserve">At the time of drafting, defendants have not appeared, but common questions in discussions of the case include, whether the photograph constitutes child pornography, whether the photograph was intended to be lascivious or sexual or as a comment on commercialism or greed (as it has often been understood), and what consent was required and/or provided, for privacy concerns. </w:t>
      </w:r>
    </w:p>
    <w:p w:rsidR="00B73D47" w:rsidRPr="003D0B44" w:rsidRDefault="00B73D47" w:rsidP="00FD322C">
      <w:pPr>
        <w:spacing w:after="240" w:line="240" w:lineRule="auto"/>
        <w:rPr>
          <w:rFonts w:ascii="Times New Roman" w:hAnsi="Times New Roman" w:cs="Times New Roman"/>
          <w:sz w:val="24"/>
          <w:szCs w:val="24"/>
        </w:rPr>
      </w:pPr>
    </w:p>
    <w:sectPr w:rsidR="00B73D47" w:rsidRPr="003D0B44" w:rsidSect="00A654B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05E" w:rsidRDefault="003E005E" w:rsidP="00A654B5">
      <w:pPr>
        <w:spacing w:after="0" w:line="240" w:lineRule="auto"/>
      </w:pPr>
      <w:r>
        <w:separator/>
      </w:r>
    </w:p>
  </w:endnote>
  <w:endnote w:type="continuationSeparator" w:id="0">
    <w:p w:rsidR="003E005E" w:rsidRDefault="003E005E" w:rsidP="00A65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BA8" w:rsidRDefault="00391B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3073961"/>
      <w:docPartObj>
        <w:docPartGallery w:val="Page Numbers (Bottom of Page)"/>
        <w:docPartUnique/>
      </w:docPartObj>
    </w:sdtPr>
    <w:sdtEndPr>
      <w:rPr>
        <w:noProof/>
      </w:rPr>
    </w:sdtEndPr>
    <w:sdtContent>
      <w:p w:rsidR="00391BA8" w:rsidRDefault="00391BA8">
        <w:pPr>
          <w:pStyle w:val="Footer"/>
          <w:jc w:val="center"/>
        </w:pPr>
        <w:r>
          <w:fldChar w:fldCharType="begin"/>
        </w:r>
        <w:r>
          <w:instrText xml:space="preserve"> PAGE   \* MERGEFORMAT </w:instrText>
        </w:r>
        <w:r>
          <w:fldChar w:fldCharType="separate"/>
        </w:r>
        <w:r w:rsidR="00C27723">
          <w:rPr>
            <w:noProof/>
          </w:rPr>
          <w:t>9</w:t>
        </w:r>
        <w:r>
          <w:rPr>
            <w:noProof/>
          </w:rPr>
          <w:fldChar w:fldCharType="end"/>
        </w:r>
      </w:p>
    </w:sdtContent>
  </w:sdt>
  <w:p w:rsidR="00391BA8" w:rsidRDefault="00391B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BA8" w:rsidRDefault="00391B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05E" w:rsidRDefault="003E005E" w:rsidP="00A654B5">
      <w:pPr>
        <w:spacing w:after="0" w:line="240" w:lineRule="auto"/>
      </w:pPr>
      <w:r>
        <w:separator/>
      </w:r>
    </w:p>
  </w:footnote>
  <w:footnote w:type="continuationSeparator" w:id="0">
    <w:p w:rsidR="003E005E" w:rsidRDefault="003E005E" w:rsidP="00A654B5">
      <w:pPr>
        <w:spacing w:after="0" w:line="240" w:lineRule="auto"/>
      </w:pPr>
      <w:r>
        <w:continuationSeparator/>
      </w:r>
    </w:p>
  </w:footnote>
  <w:footnote w:id="1">
    <w:p w:rsidR="00F71281" w:rsidRPr="00F71281" w:rsidRDefault="00F71281">
      <w:pPr>
        <w:pStyle w:val="FootnoteText"/>
        <w:rPr>
          <w:rFonts w:ascii="Times New Roman" w:hAnsi="Times New Roman" w:cs="Times New Roman"/>
          <w:sz w:val="24"/>
          <w:szCs w:val="24"/>
        </w:rPr>
      </w:pPr>
      <w:r w:rsidRPr="00F71281">
        <w:rPr>
          <w:rStyle w:val="FootnoteReference"/>
          <w:rFonts w:ascii="Times New Roman" w:hAnsi="Times New Roman" w:cs="Times New Roman"/>
          <w:sz w:val="24"/>
          <w:szCs w:val="24"/>
        </w:rPr>
        <w:footnoteRef/>
      </w:r>
      <w:r w:rsidRPr="00F71281">
        <w:rPr>
          <w:rFonts w:ascii="Times New Roman" w:hAnsi="Times New Roman" w:cs="Times New Roman"/>
          <w:sz w:val="24"/>
          <w:szCs w:val="24"/>
        </w:rPr>
        <w:t xml:space="preserve"> Spe</w:t>
      </w:r>
      <w:r w:rsidR="00734E26">
        <w:rPr>
          <w:rFonts w:ascii="Times New Roman" w:hAnsi="Times New Roman" w:cs="Times New Roman"/>
          <w:sz w:val="24"/>
          <w:szCs w:val="24"/>
        </w:rPr>
        <w:t>cial thanks to Azeezat Adeleke,</w:t>
      </w:r>
      <w:r>
        <w:rPr>
          <w:rFonts w:ascii="Times New Roman" w:hAnsi="Times New Roman" w:cs="Times New Roman"/>
          <w:sz w:val="24"/>
          <w:szCs w:val="24"/>
        </w:rPr>
        <w:t xml:space="preserve"> </w:t>
      </w:r>
      <w:r w:rsidRPr="00F71281">
        <w:rPr>
          <w:rFonts w:ascii="Times New Roman" w:hAnsi="Times New Roman" w:cs="Times New Roman"/>
          <w:sz w:val="24"/>
          <w:szCs w:val="24"/>
        </w:rPr>
        <w:t>third-year law student at Stanford University</w:t>
      </w:r>
      <w:r>
        <w:rPr>
          <w:rFonts w:ascii="Times New Roman" w:hAnsi="Times New Roman" w:cs="Times New Roman"/>
          <w:sz w:val="24"/>
          <w:szCs w:val="24"/>
        </w:rPr>
        <w:t xml:space="preserve"> and recent summer associate with Ballard Spahr LLP, for her assistance in preparing</w:t>
      </w:r>
      <w:r w:rsidRPr="00F71281">
        <w:rPr>
          <w:rFonts w:ascii="Times New Roman" w:hAnsi="Times New Roman" w:cs="Times New Roman"/>
          <w:sz w:val="24"/>
          <w:szCs w:val="24"/>
        </w:rPr>
        <w:t xml:space="preserve"> these materials</w:t>
      </w:r>
      <w:r w:rsidR="00915AE1">
        <w:rPr>
          <w:rFonts w:ascii="Times New Roman" w:hAnsi="Times New Roman" w:cs="Times New Roman"/>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BA8" w:rsidRDefault="00391B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BA8" w:rsidRDefault="00391B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BA8" w:rsidRDefault="00391B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623FE"/>
    <w:multiLevelType w:val="hybridMultilevel"/>
    <w:tmpl w:val="0032F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81B36"/>
    <w:multiLevelType w:val="hybridMultilevel"/>
    <w:tmpl w:val="073275EA"/>
    <w:lvl w:ilvl="0" w:tplc="C4D24228">
      <w:start w:val="1"/>
      <w:numFmt w:val="upperRoman"/>
      <w:lvlText w:val="%1."/>
      <w:lvlJc w:val="left"/>
      <w:pPr>
        <w:ind w:left="720" w:hanging="720"/>
      </w:pPr>
      <w:rPr>
        <w:rFonts w:hint="default"/>
      </w:rPr>
    </w:lvl>
    <w:lvl w:ilvl="1" w:tplc="7DC80920">
      <w:start w:val="1"/>
      <w:numFmt w:val="upperLetter"/>
      <w:lvlText w:val="%2."/>
      <w:lvlJc w:val="left"/>
      <w:pPr>
        <w:ind w:left="1080" w:hanging="360"/>
      </w:pPr>
      <w:rPr>
        <w:b/>
        <w:sz w:val="24"/>
        <w:szCs w:val="24"/>
      </w:rPr>
    </w:lvl>
    <w:lvl w:ilvl="2" w:tplc="318C1CEE">
      <w:start w:val="1"/>
      <w:numFmt w:val="decimal"/>
      <w:lvlText w:val="%3."/>
      <w:lvlJc w:val="left"/>
      <w:pPr>
        <w:ind w:left="1800" w:hanging="180"/>
      </w:pPr>
      <w:rPr>
        <w:b w:val="0"/>
      </w:rPr>
    </w:lvl>
    <w:lvl w:ilvl="3" w:tplc="04090019">
      <w:start w:val="1"/>
      <w:numFmt w:val="lowerLetter"/>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9A0A22"/>
    <w:multiLevelType w:val="hybridMultilevel"/>
    <w:tmpl w:val="597E90C4"/>
    <w:lvl w:ilvl="0" w:tplc="C4D24228">
      <w:start w:val="1"/>
      <w:numFmt w:val="upperRoman"/>
      <w:lvlText w:val="%1."/>
      <w:lvlJc w:val="left"/>
      <w:pPr>
        <w:ind w:left="720" w:hanging="720"/>
      </w:pPr>
      <w:rPr>
        <w:rFonts w:hint="default"/>
      </w:rPr>
    </w:lvl>
    <w:lvl w:ilvl="1" w:tplc="547456EE">
      <w:start w:val="1"/>
      <w:numFmt w:val="upperLetter"/>
      <w:lvlText w:val="%2."/>
      <w:lvlJc w:val="left"/>
      <w:pPr>
        <w:ind w:left="1080" w:hanging="360"/>
      </w:pPr>
      <w:rPr>
        <w:b/>
      </w:r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0131E6"/>
    <w:multiLevelType w:val="hybridMultilevel"/>
    <w:tmpl w:val="02F0146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903E09"/>
    <w:multiLevelType w:val="hybridMultilevel"/>
    <w:tmpl w:val="41B8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E598D"/>
    <w:multiLevelType w:val="hybridMultilevel"/>
    <w:tmpl w:val="4A0AC758"/>
    <w:lvl w:ilvl="0" w:tplc="C4D2422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700C8B"/>
    <w:multiLevelType w:val="hybridMultilevel"/>
    <w:tmpl w:val="82B85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8D76C2"/>
    <w:multiLevelType w:val="hybridMultilevel"/>
    <w:tmpl w:val="A9861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E37B7"/>
    <w:multiLevelType w:val="hybridMultilevel"/>
    <w:tmpl w:val="1286EC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EE2337"/>
    <w:multiLevelType w:val="hybridMultilevel"/>
    <w:tmpl w:val="79FC2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04578B"/>
    <w:multiLevelType w:val="hybridMultilevel"/>
    <w:tmpl w:val="16E0F1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8E7299"/>
    <w:multiLevelType w:val="hybridMultilevel"/>
    <w:tmpl w:val="638E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364222"/>
    <w:multiLevelType w:val="hybridMultilevel"/>
    <w:tmpl w:val="F0A8213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7112C6"/>
    <w:multiLevelType w:val="hybridMultilevel"/>
    <w:tmpl w:val="F572B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29D7261"/>
    <w:multiLevelType w:val="hybridMultilevel"/>
    <w:tmpl w:val="483807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0805CB"/>
    <w:multiLevelType w:val="hybridMultilevel"/>
    <w:tmpl w:val="ED125D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F81EC7"/>
    <w:multiLevelType w:val="hybridMultilevel"/>
    <w:tmpl w:val="100AC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3"/>
  </w:num>
  <w:num w:numId="4">
    <w:abstractNumId w:val="9"/>
  </w:num>
  <w:num w:numId="5">
    <w:abstractNumId w:val="6"/>
  </w:num>
  <w:num w:numId="6">
    <w:abstractNumId w:val="0"/>
  </w:num>
  <w:num w:numId="7">
    <w:abstractNumId w:val="7"/>
  </w:num>
  <w:num w:numId="8">
    <w:abstractNumId w:val="8"/>
  </w:num>
  <w:num w:numId="9">
    <w:abstractNumId w:val="10"/>
  </w:num>
  <w:num w:numId="10">
    <w:abstractNumId w:val="15"/>
  </w:num>
  <w:num w:numId="11">
    <w:abstractNumId w:val="3"/>
  </w:num>
  <w:num w:numId="12">
    <w:abstractNumId w:val="5"/>
  </w:num>
  <w:num w:numId="13">
    <w:abstractNumId w:val="2"/>
  </w:num>
  <w:num w:numId="14">
    <w:abstractNumId w:val="1"/>
  </w:num>
  <w:num w:numId="15">
    <w:abstractNumId w:val="16"/>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ClientMatter" w:val="False"/>
    <w:docVar w:name="DocIDLibrary" w:val="True"/>
    <w:docVar w:name="DocIDType" w:val="AllPages"/>
  </w:docVars>
  <w:rsids>
    <w:rsidRoot w:val="00B051FE"/>
    <w:rsid w:val="000111E8"/>
    <w:rsid w:val="0003098F"/>
    <w:rsid w:val="000A4F79"/>
    <w:rsid w:val="000B1F9F"/>
    <w:rsid w:val="000C46C4"/>
    <w:rsid w:val="000D66FF"/>
    <w:rsid w:val="000F4614"/>
    <w:rsid w:val="000F6B21"/>
    <w:rsid w:val="001236D4"/>
    <w:rsid w:val="0016431B"/>
    <w:rsid w:val="001C7E5A"/>
    <w:rsid w:val="00262C13"/>
    <w:rsid w:val="002C305D"/>
    <w:rsid w:val="002E29A2"/>
    <w:rsid w:val="00391BA8"/>
    <w:rsid w:val="003D0B44"/>
    <w:rsid w:val="003D65FA"/>
    <w:rsid w:val="003E005E"/>
    <w:rsid w:val="003E15B7"/>
    <w:rsid w:val="00406851"/>
    <w:rsid w:val="004F498C"/>
    <w:rsid w:val="00506B68"/>
    <w:rsid w:val="00523210"/>
    <w:rsid w:val="0059490B"/>
    <w:rsid w:val="0068305A"/>
    <w:rsid w:val="006A1B5F"/>
    <w:rsid w:val="006D0C0E"/>
    <w:rsid w:val="006F2E6C"/>
    <w:rsid w:val="00704E5C"/>
    <w:rsid w:val="00734E26"/>
    <w:rsid w:val="0076677C"/>
    <w:rsid w:val="008074A7"/>
    <w:rsid w:val="00833F8B"/>
    <w:rsid w:val="008643CA"/>
    <w:rsid w:val="008819DD"/>
    <w:rsid w:val="00885BDE"/>
    <w:rsid w:val="008A4036"/>
    <w:rsid w:val="008D0BF3"/>
    <w:rsid w:val="008E3F2A"/>
    <w:rsid w:val="008F7203"/>
    <w:rsid w:val="00915AE1"/>
    <w:rsid w:val="00936796"/>
    <w:rsid w:val="009C0C85"/>
    <w:rsid w:val="009F1BD3"/>
    <w:rsid w:val="00A651B0"/>
    <w:rsid w:val="00A654B5"/>
    <w:rsid w:val="00A65E44"/>
    <w:rsid w:val="00A74C96"/>
    <w:rsid w:val="00AB2A90"/>
    <w:rsid w:val="00AD378F"/>
    <w:rsid w:val="00B051FE"/>
    <w:rsid w:val="00B4236D"/>
    <w:rsid w:val="00B73D47"/>
    <w:rsid w:val="00B83926"/>
    <w:rsid w:val="00BD4EFC"/>
    <w:rsid w:val="00C27723"/>
    <w:rsid w:val="00C42DB7"/>
    <w:rsid w:val="00C45B53"/>
    <w:rsid w:val="00C60960"/>
    <w:rsid w:val="00C72BC7"/>
    <w:rsid w:val="00CC0B26"/>
    <w:rsid w:val="00CE3D02"/>
    <w:rsid w:val="00D42C6D"/>
    <w:rsid w:val="00DD196A"/>
    <w:rsid w:val="00DD42C8"/>
    <w:rsid w:val="00E60D3E"/>
    <w:rsid w:val="00EC5E37"/>
    <w:rsid w:val="00F71281"/>
    <w:rsid w:val="00F8166E"/>
    <w:rsid w:val="00FD2DD2"/>
    <w:rsid w:val="00FD3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345986-168F-46FA-8BE6-9672936BC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677C"/>
    <w:rPr>
      <w:color w:val="0563C1" w:themeColor="hyperlink"/>
      <w:u w:val="single"/>
    </w:rPr>
  </w:style>
  <w:style w:type="character" w:customStyle="1" w:styleId="UnresolvedMention1">
    <w:name w:val="Unresolved Mention1"/>
    <w:basedOn w:val="DefaultParagraphFont"/>
    <w:uiPriority w:val="99"/>
    <w:semiHidden/>
    <w:unhideWhenUsed/>
    <w:rsid w:val="0076677C"/>
    <w:rPr>
      <w:color w:val="808080"/>
      <w:shd w:val="clear" w:color="auto" w:fill="E6E6E6"/>
    </w:rPr>
  </w:style>
  <w:style w:type="paragraph" w:styleId="NoSpacing">
    <w:name w:val="No Spacing"/>
    <w:uiPriority w:val="1"/>
    <w:qFormat/>
    <w:rsid w:val="006A1B5F"/>
    <w:pPr>
      <w:spacing w:after="0" w:line="240" w:lineRule="auto"/>
    </w:pPr>
  </w:style>
  <w:style w:type="paragraph" w:styleId="ListParagraph">
    <w:name w:val="List Paragraph"/>
    <w:basedOn w:val="Normal"/>
    <w:uiPriority w:val="34"/>
    <w:qFormat/>
    <w:rsid w:val="00A654B5"/>
    <w:pPr>
      <w:ind w:left="720"/>
      <w:contextualSpacing/>
    </w:pPr>
  </w:style>
  <w:style w:type="paragraph" w:styleId="Header">
    <w:name w:val="header"/>
    <w:basedOn w:val="Normal"/>
    <w:link w:val="HeaderChar"/>
    <w:uiPriority w:val="99"/>
    <w:unhideWhenUsed/>
    <w:rsid w:val="00A65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4B5"/>
  </w:style>
  <w:style w:type="paragraph" w:styleId="Footer">
    <w:name w:val="footer"/>
    <w:basedOn w:val="Normal"/>
    <w:link w:val="FooterChar"/>
    <w:uiPriority w:val="99"/>
    <w:unhideWhenUsed/>
    <w:rsid w:val="00A65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4B5"/>
  </w:style>
  <w:style w:type="character" w:customStyle="1" w:styleId="DocID">
    <w:name w:val="DocID"/>
    <w:basedOn w:val="DefaultParagraphFont"/>
    <w:rsid w:val="00EC5E37"/>
    <w:rPr>
      <w:rFonts w:ascii="Arial" w:hAnsi="Arial" w:cs="Arial"/>
      <w:b w:val="0"/>
      <w:i w:val="0"/>
      <w:caps w:val="0"/>
      <w:vanish w:val="0"/>
      <w:color w:val="000000"/>
      <w:sz w:val="14"/>
      <w:szCs w:val="40"/>
      <w:u w:val="none"/>
    </w:rPr>
  </w:style>
  <w:style w:type="paragraph" w:customStyle="1" w:styleId="00BodyText1">
    <w:name w:val="00 Body Text 1"/>
    <w:basedOn w:val="Normal"/>
    <w:qFormat/>
    <w:rsid w:val="00B73D47"/>
    <w:pPr>
      <w:spacing w:after="240" w:line="240" w:lineRule="auto"/>
      <w:ind w:firstLine="1440"/>
    </w:pPr>
    <w:rPr>
      <w:rFonts w:ascii="Times New Roman" w:hAnsi="Times New Roman"/>
      <w:sz w:val="24"/>
      <w:szCs w:val="24"/>
    </w:rPr>
  </w:style>
  <w:style w:type="paragraph" w:styleId="FootnoteText">
    <w:name w:val="footnote text"/>
    <w:basedOn w:val="Normal"/>
    <w:link w:val="FootnoteTextChar"/>
    <w:uiPriority w:val="99"/>
    <w:semiHidden/>
    <w:unhideWhenUsed/>
    <w:rsid w:val="00F712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1281"/>
    <w:rPr>
      <w:sz w:val="20"/>
      <w:szCs w:val="20"/>
    </w:rPr>
  </w:style>
  <w:style w:type="character" w:styleId="FootnoteReference">
    <w:name w:val="footnote reference"/>
    <w:basedOn w:val="DefaultParagraphFont"/>
    <w:uiPriority w:val="99"/>
    <w:semiHidden/>
    <w:unhideWhenUsed/>
    <w:rsid w:val="00F71281"/>
    <w:rPr>
      <w:vertAlign w:val="superscript"/>
    </w:rPr>
  </w:style>
  <w:style w:type="paragraph" w:styleId="BalloonText">
    <w:name w:val="Balloon Text"/>
    <w:basedOn w:val="Normal"/>
    <w:link w:val="BalloonTextChar"/>
    <w:uiPriority w:val="99"/>
    <w:semiHidden/>
    <w:unhideWhenUsed/>
    <w:rsid w:val="00915A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A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60194">
      <w:bodyDiv w:val="1"/>
      <w:marLeft w:val="0"/>
      <w:marRight w:val="0"/>
      <w:marTop w:val="0"/>
      <w:marBottom w:val="0"/>
      <w:divBdr>
        <w:top w:val="none" w:sz="0" w:space="0" w:color="auto"/>
        <w:left w:val="none" w:sz="0" w:space="0" w:color="auto"/>
        <w:bottom w:val="none" w:sz="0" w:space="0" w:color="auto"/>
        <w:right w:val="none" w:sz="0" w:space="0" w:color="auto"/>
      </w:divBdr>
    </w:div>
    <w:div w:id="124283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E9B16-64DC-4295-8D72-BAD215981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2979</Words>
  <Characters>16982</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Heller</dc:creator>
  <cp:keywords/>
  <dc:description/>
  <cp:lastModifiedBy>David Heller</cp:lastModifiedBy>
  <cp:revision>2</cp:revision>
  <dcterms:created xsi:type="dcterms:W3CDTF">2021-09-14T22:33:00Z</dcterms:created>
  <dcterms:modified xsi:type="dcterms:W3CDTF">2021-09-14T22:33:00Z</dcterms:modified>
</cp:coreProperties>
</file>